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4114.xml.htm"/>
      <w:bookmarkStart w:id="1" w:name="kswkform4_17780141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Warren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FACTSET RESEARCH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227.58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vest 50% on the third anniversary date of the grant and 50% on the fourth anniversary date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vest 50% on the third anniversary date of the grant and 50% on the fourth anniversary date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WINNIFRED LEWIS, Attorney in Fact for Joshua Warren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0217" TargetMode="External"/><Relationship Id="rId5" Type="http://schemas.openxmlformats.org/officeDocument/2006/relationships/hyperlink" Target="http://www.sec.gov/cgi-bin/browse-edgar?action=getcompany&amp;CIK=00010132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3392</Characters>
  <CharactersWithSpaces>3955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