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32"/>
        </w:rPr>
      </w:pPr>
      <w:r>
        <w:rPr>
          <w:rFonts w:ascii="Times New Roman;serif" w:hAnsi="Times New Roman;serif"/>
          <w:b w:val="false"/>
          <w:color w:val="000000"/>
          <w:sz w:val="32"/>
        </w:rPr>
        <w:t>Form 10-K</w:t>
      </w:r>
    </w:p>
    <w:tbl>
      <w:tblPr>
        <w:tblW w:w="7466" w:type="dxa"/>
        <w:jc w:val="center"/>
        <w:tblInd w:w="0" w:type="dxa"/>
        <w:tblLayout w:type="fixed"/>
        <w:tblCellMar>
          <w:top w:w="28" w:type="dxa"/>
          <w:left w:w="28" w:type="dxa"/>
          <w:bottom w:w="28" w:type="dxa"/>
          <w:right w:w="28" w:type="dxa"/>
        </w:tblCellMar>
      </w:tblPr>
      <w:tblGrid>
        <w:gridCol w:w="124"/>
        <w:gridCol w:w="109"/>
        <w:gridCol w:w="109"/>
        <w:gridCol w:w="2083"/>
        <w:gridCol w:w="2083"/>
        <w:gridCol w:w="2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2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color w:val="000000"/>
          <w:sz w:val="24"/>
        </w:rPr>
        <w:t>For the fiscal year</w:t>
      </w:r>
      <w:r>
        <w:rPr>
          <w:color w:val="000000"/>
        </w:rPr>
        <w:t xml:space="preserve"> </w:t>
      </w:r>
      <w:r>
        <w:rPr>
          <w:rFonts w:ascii="Times New Roman;serif" w:hAnsi="Times New Roman;serif"/>
          <w:b/>
          <w:color w:val="000000"/>
          <w:sz w:val="24"/>
        </w:rPr>
        <w:t>ended August 31, 2026</w:t>
      </w:r>
    </w:p>
    <w:tbl>
      <w:tblPr>
        <w:tblW w:w="7706" w:type="dxa"/>
        <w:jc w:val="center"/>
        <w:tblInd w:w="0" w:type="dxa"/>
        <w:tblLayout w:type="fixed"/>
        <w:tblCellMar>
          <w:top w:w="28" w:type="dxa"/>
          <w:left w:w="28" w:type="dxa"/>
          <w:bottom w:w="28" w:type="dxa"/>
          <w:right w:w="28" w:type="dxa"/>
        </w:tblCellMar>
      </w:tblPr>
      <w:tblGrid>
        <w:gridCol w:w="124"/>
        <w:gridCol w:w="109"/>
        <w:gridCol w:w="109"/>
        <w:gridCol w:w="2155"/>
        <w:gridCol w:w="2155"/>
        <w:gridCol w:w="30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30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val="false"/>
          <w:color w:val="000000"/>
          <w:sz w:val="20"/>
        </w:rPr>
        <w:t xml:space="preserve">For the transition period from </w:t>
      </w:r>
      <w:r>
        <w:rPr>
          <w:color w:val="000000"/>
          <w:u w:val="single"/>
        </w:rPr>
        <w:t>            </w:t>
      </w:r>
      <w:r>
        <w:rPr>
          <w:rFonts w:ascii="Times New Roman;serif" w:hAnsi="Times New Roman;serif"/>
          <w:b w:val="false"/>
          <w:color w:val="000000"/>
          <w:sz w:val="20"/>
        </w:rPr>
        <w:t xml:space="preserve">to </w:t>
      </w:r>
      <w:r>
        <w:rPr>
          <w:color w:val="000000"/>
          <w:u w:val="single"/>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1-11869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FACTSET RESEARCH SYSTEMS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drawing>
          <wp:inline distT="0" distB="0" distL="0" distR="0">
            <wp:extent cx="2028825"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28825" cy="342900"/>
                    </a:xfrm>
                    <a:prstGeom prst="rect">
                      <a:avLst/>
                    </a:prstGeom>
                  </pic:spPr>
                </pic:pic>
              </a:graphicData>
            </a:graphic>
          </wp:inline>
        </w:drawing>
      </w:r>
      <w:bookmarkStart w:id="0" w:name="i-1"/>
      <w:bookmarkEnd w:id="0"/>
    </w:p>
    <w:tbl>
      <w:tblPr>
        <w:tblW w:w="8321" w:type="dxa"/>
        <w:jc w:val="center"/>
        <w:tblInd w:w="0" w:type="dxa"/>
        <w:tblLayout w:type="fixed"/>
        <w:tblCellMar>
          <w:top w:w="28" w:type="dxa"/>
          <w:left w:w="28" w:type="dxa"/>
          <w:bottom w:w="28" w:type="dxa"/>
          <w:right w:w="28" w:type="dxa"/>
        </w:tblCellMar>
      </w:tblPr>
      <w:tblGrid>
        <w:gridCol w:w="1795"/>
        <w:gridCol w:w="1577"/>
        <w:gridCol w:w="1593"/>
        <w:gridCol w:w="109"/>
        <w:gridCol w:w="109"/>
        <w:gridCol w:w="109"/>
        <w:gridCol w:w="885"/>
        <w:gridCol w:w="885"/>
        <w:gridCol w:w="1259"/>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13-3362547</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0" w:after="0"/>
        <w:jc w:val="center"/>
        <w:rPr/>
      </w:pPr>
      <w:r>
        <w:rPr>
          <w:rFonts w:ascii="Times New Roman;serif" w:hAnsi="Times New Roman;serif"/>
          <w:b/>
          <w:color w:val="000000"/>
          <w:sz w:val="20"/>
        </w:rPr>
        <w:t>45 Glover Avenue,</w:t>
      </w:r>
      <w:r>
        <w:rPr>
          <w:color w:val="000000"/>
        </w:rPr>
        <w:t xml:space="preserve"> </w:t>
      </w:r>
      <w:r>
        <w:rPr>
          <w:rFonts w:ascii="Times New Roman;serif" w:hAnsi="Times New Roman;serif"/>
          <w:b/>
          <w:color w:val="000000"/>
          <w:sz w:val="20"/>
        </w:rPr>
        <w:t>Norwalk, Connecticut 06850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(203) 810-1000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8083" w:type="dxa"/>
        <w:jc w:val="center"/>
        <w:tblInd w:w="0" w:type="dxa"/>
        <w:tblLayout w:type="fixed"/>
        <w:tblCellMar>
          <w:top w:w="28" w:type="dxa"/>
          <w:left w:w="28" w:type="dxa"/>
          <w:bottom w:w="28" w:type="dxa"/>
          <w:right w:w="28" w:type="dxa"/>
        </w:tblCellMar>
      </w:tblPr>
      <w:tblGrid>
        <w:gridCol w:w="999"/>
        <w:gridCol w:w="875"/>
        <w:gridCol w:w="885"/>
        <w:gridCol w:w="539"/>
        <w:gridCol w:w="539"/>
        <w:gridCol w:w="541"/>
        <w:gridCol w:w="1085"/>
        <w:gridCol w:w="1085"/>
        <w:gridCol w:w="1535"/>
      </w:tblGrid>
      <w:tr>
        <w:trPr/>
        <w:tc>
          <w:tcPr>
            <w:tcW w:w="99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759" w:type="dxa"/>
            <w:gridSpan w:val="3"/>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1619" w:type="dxa"/>
            <w:gridSpan w:val="3"/>
            <w:vMerge w:val="restart"/>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FDS</w:t>
            </w:r>
          </w:p>
        </w:tc>
        <w:tc>
          <w:tcPr>
            <w:tcW w:w="37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 LLC</w:t>
            </w:r>
          </w:p>
        </w:tc>
      </w:tr>
      <w:tr>
        <w:trPr/>
        <w:tc>
          <w:tcPr>
            <w:tcW w:w="2759" w:type="dxa"/>
            <w:gridSpan w:val="3"/>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619" w:type="dxa"/>
            <w:gridSpan w:val="3"/>
            <w:vMerge w:val="continue"/>
            <w:tcBorders>
              <w:left w:val="single" w:sz="8" w:space="0" w:color="000000"/>
              <w:bottom w:val="single" w:sz="8" w:space="0" w:color="000000"/>
            </w:tcBorders>
            <w:tcMar>
              <w:top w:w="0" w:type="dxa"/>
              <w:bottom w:w="30" w:type="dxa"/>
              <w:right w:w="0" w:type="dxa"/>
            </w:tcMar>
            <w:vAlign w:val="center"/>
          </w:tcPr>
          <w:p>
            <w:pPr>
              <w:pStyle w:val="Normal"/>
              <w:bidi w:val="0"/>
              <w:jc w:val="left"/>
              <w:rPr/>
            </w:pPr>
            <w:r>
              <w:rPr/>
            </w:r>
          </w:p>
        </w:tc>
        <w:tc>
          <w:tcPr>
            <w:tcW w:w="370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w:t>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12(g) of the Act: None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if the registrant is a well-known seasoned issuer, as defined in Rule 405 of the Securities Act.</w:t>
      </w:r>
    </w:p>
    <w:p>
      <w:pPr>
        <w:pStyle w:val="TextBody"/>
        <w:bidi w:val="0"/>
        <w:spacing w:lineRule="auto" w:line="288" w:before="0" w:after="0"/>
        <w:jc w:val="both"/>
        <w:rPr/>
      </w:pPr>
      <w:r>
        <w:rPr>
          <w:rFonts w:ascii="Times New Roman;serif" w:hAnsi="Times New Roman;serif"/>
          <w:b w:val="false"/>
          <w:color w:val="000000"/>
          <w:sz w:val="20"/>
        </w:rPr>
        <w:t>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if the registrant is not required to file reports pursuant to Section 13 or Section 15(d) of the Act.</w:t>
      </w:r>
    </w:p>
    <w:p>
      <w:pPr>
        <w:pStyle w:val="TextBody"/>
        <w:bidi w:val="0"/>
        <w:spacing w:lineRule="auto" w:line="288" w:before="0" w:after="120"/>
        <w:jc w:val="both"/>
        <w:rPr/>
      </w:pPr>
      <w:r>
        <w:rPr>
          <w:rFonts w:ascii="Times New Roman;serif" w:hAnsi="Times New Roman;serif"/>
          <w:b w:val="false"/>
          <w:color w:val="000000"/>
          <w:sz w:val="20"/>
        </w:rPr>
        <w:t>Yes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x</w:t>
      </w:r>
    </w:p>
    <w:p>
      <w:pPr>
        <w:pStyle w:val="TextBody"/>
        <w:bidi w:val="0"/>
        <w:spacing w:lineRule="auto" w:line="288" w:before="0" w:after="120"/>
        <w:jc w:val="both"/>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lineRule="auto" w:line="288" w:before="0" w:after="120"/>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 </w:t>
      </w:r>
    </w:p>
    <w:tbl>
      <w:tblPr>
        <w:tblW w:w="5301" w:type="dxa"/>
        <w:jc w:val="left"/>
        <w:tblInd w:w="0" w:type="dxa"/>
        <w:tblLayout w:type="fixed"/>
        <w:tblCellMar>
          <w:top w:w="28" w:type="dxa"/>
          <w:left w:w="28" w:type="dxa"/>
          <w:bottom w:w="28" w:type="dxa"/>
          <w:right w:w="28" w:type="dxa"/>
        </w:tblCellMar>
      </w:tblPr>
      <w:tblGrid>
        <w:gridCol w:w="711"/>
        <w:gridCol w:w="626"/>
        <w:gridCol w:w="628"/>
        <w:gridCol w:w="109"/>
        <w:gridCol w:w="109"/>
        <w:gridCol w:w="109"/>
        <w:gridCol w:w="109"/>
        <w:gridCol w:w="109"/>
        <w:gridCol w:w="109"/>
        <w:gridCol w:w="769"/>
        <w:gridCol w:w="769"/>
        <w:gridCol w:w="772"/>
        <w:gridCol w:w="109"/>
        <w:gridCol w:w="109"/>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120"/>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Wingdings;sans-serif" w:hAnsi="Wingdings;sans-serif"/>
          <w:b w:val="false"/>
          <w:color w:val="000000"/>
          <w:sz w:val="20"/>
        </w:rPr>
        <w:t>o</w:t>
      </w:r>
      <w:r>
        <w:rPr>
          <w:color w:val="000000"/>
        </w:rPr>
        <w:t>  </w:t>
      </w:r>
    </w:p>
    <w:p>
      <w:pPr>
        <w:pStyle w:val="TextBody"/>
        <w:bidi w:val="0"/>
        <w:spacing w:lineRule="auto" w:line="288" w:before="0" w:after="120"/>
        <w:jc w:val="both"/>
        <w:rPr/>
      </w:pPr>
      <w:r>
        <w:rPr>
          <w:rFonts w:ascii="Times New Roman;serif" w:hAnsi="Times New Roman;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20"/>
        </w:rPr>
        <w:t>x</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0" w:after="120"/>
        <w:jc w:val="both"/>
        <w:rPr/>
      </w:pPr>
      <w:r>
        <w:rPr>
          <w:rFonts w:ascii="Times New Roman;serif" w:hAnsi="Times New Roman;serif"/>
          <w:b w:val="false"/>
          <w:color w:val="000000"/>
          <w:sz w:val="20"/>
        </w:rPr>
        <w:t>Indicate by check mark whether the registrant is a shell company (as defined in Rule 12b-2 of the Act).      Yes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x</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aggregate market value of the registrant’s common stock held by non-affiliates of the registrant based upon the closing price of a share of the registrant’s common stock on February 27, 2026, the last business day of the registrant’s most recently completed second fiscal quarter, as reported by the New York Stock Exchange on that date, was $7,928,656,331.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of October 15, 2026, there were 35,255,660 shares of the registrant's common stock outstanding.</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DOCUMENTS INCORPORATED BY REFERENCE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information required by Part III of this Annual Report on Form 10-K is incorporated by reference to our definitive Proxy Statement for our 2026 Annual Meeting of Stockholders, which will be filed with the Securities and Exchange Commission not later than 120 days after August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FactSet Research Systems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Form 10-K</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For The Fiscal Year Ended August 31, 2026 </w:t>
      </w:r>
    </w:p>
    <w:tbl>
      <w:tblPr>
        <w:tblW w:w="10205" w:type="dxa"/>
        <w:jc w:val="left"/>
        <w:tblInd w:w="0" w:type="dxa"/>
        <w:tblLayout w:type="fixed"/>
        <w:tblCellMar>
          <w:top w:w="28" w:type="dxa"/>
          <w:left w:w="28" w:type="dxa"/>
          <w:bottom w:w="28" w:type="dxa"/>
          <w:right w:w="28" w:type="dxa"/>
        </w:tblCellMar>
      </w:tblPr>
      <w:tblGrid>
        <w:gridCol w:w="472"/>
        <w:gridCol w:w="415"/>
        <w:gridCol w:w="419"/>
        <w:gridCol w:w="264"/>
        <w:gridCol w:w="264"/>
        <w:gridCol w:w="268"/>
        <w:gridCol w:w="2598"/>
        <w:gridCol w:w="2466"/>
        <w:gridCol w:w="2467"/>
        <w:gridCol w:w="167"/>
        <w:gridCol w:w="167"/>
        <w:gridCol w:w="238"/>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c>
          <w:tcPr>
            <w:tcW w:w="2466" w:type="dxa"/>
            <w:tcBorders/>
            <w:vAlign w:val="center"/>
          </w:tcPr>
          <w:p>
            <w:pPr>
              <w:pStyle w:val="TableContents"/>
              <w:bidi w:val="0"/>
              <w:spacing w:before="0" w:after="283"/>
              <w:jc w:val="left"/>
              <w:rPr>
                <w:sz w:val="4"/>
                <w:szCs w:val="4"/>
              </w:rPr>
            </w:pPr>
            <w:r>
              <w:rPr>
                <w:sz w:val="4"/>
                <w:szCs w:val="4"/>
              </w:rPr>
            </w:r>
          </w:p>
        </w:tc>
        <w:tc>
          <w:tcPr>
            <w:tcW w:w="24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10">
              <w:r>
                <w:rPr>
                  <w:rStyle w:val="InternetLink"/>
                  <w:rFonts w:ascii="Times New Roman;serif" w:hAnsi="Times New Roman;serif"/>
                  <w:b w:val="false"/>
                  <w:color w:val="0000FF"/>
                  <w:sz w:val="20"/>
                  <w:u w:val="single"/>
                </w:rPr>
                <w:t>PART I</w:t>
              </w:r>
            </w:hyperlink>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13">
              <w:r>
                <w:rPr>
                  <w:rStyle w:val="InternetLink"/>
                  <w:rFonts w:ascii="Times New Roman;serif" w:hAnsi="Times New Roman;serif"/>
                  <w:b w:val="false"/>
                  <w:color w:val="0000FF"/>
                  <w:sz w:val="20"/>
                  <w:u w:val="single"/>
                </w:rPr>
                <w:t>Item 1.</w:t>
              </w:r>
            </w:hyperlink>
          </w:p>
        </w:tc>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13">
              <w:r>
                <w:rPr>
                  <w:rStyle w:val="InternetLink"/>
                  <w:rFonts w:ascii="Times New Roman;serif" w:hAnsi="Times New Roman;serif"/>
                  <w:b w:val="false"/>
                  <w:color w:val="0000FF"/>
                  <w:sz w:val="20"/>
                  <w:u w:val="single"/>
                </w:rPr>
                <w:t>Business</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93253b6c6d743009d916199362386a6_13">
              <w:r>
                <w:rPr>
                  <w:rStyle w:val="InternetLink"/>
                  <w:rFonts w:ascii="Times New Roman;serif" w:hAnsi="Times New Roman;serif"/>
                  <w:b w:val="false"/>
                  <w:color w:val="0000FF"/>
                  <w:sz w:val="20"/>
                  <w:u w:val="single"/>
                </w:rPr>
                <w:t>5</w:t>
              </w:r>
            </w:hyperlink>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16">
              <w:r>
                <w:rPr>
                  <w:rStyle w:val="InternetLink"/>
                  <w:rFonts w:ascii="Times New Roman;serif" w:hAnsi="Times New Roman;serif"/>
                  <w:b w:val="false"/>
                  <w:color w:val="0000FF"/>
                  <w:sz w:val="20"/>
                  <w:u w:val="single"/>
                </w:rPr>
                <w:t>Item 1A.</w:t>
              </w:r>
            </w:hyperlink>
          </w:p>
        </w:tc>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16">
              <w:r>
                <w:rPr>
                  <w:rStyle w:val="InternetLink"/>
                  <w:rFonts w:ascii="Times New Roman;serif" w:hAnsi="Times New Roman;serif"/>
                  <w:b w:val="false"/>
                  <w:color w:val="0000FF"/>
                  <w:sz w:val="20"/>
                  <w:u w:val="single"/>
                </w:rPr>
                <w:t>Risk Factors</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93253b6c6d743009d916199362386a6_16">
              <w:r>
                <w:rPr>
                  <w:rStyle w:val="InternetLink"/>
                  <w:rFonts w:ascii="Times New Roman;serif" w:hAnsi="Times New Roman;serif"/>
                  <w:b w:val="false"/>
                  <w:color w:val="0000FF"/>
                  <w:sz w:val="20"/>
                  <w:u w:val="single"/>
                </w:rPr>
                <w:t>11</w:t>
              </w:r>
            </w:hyperlink>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19">
              <w:r>
                <w:rPr>
                  <w:rStyle w:val="InternetLink"/>
                  <w:rFonts w:ascii="Times New Roman;serif" w:hAnsi="Times New Roman;serif"/>
                  <w:b w:val="false"/>
                  <w:color w:val="0000FF"/>
                  <w:sz w:val="20"/>
                  <w:u w:val="single"/>
                </w:rPr>
                <w:t>Item 1B.</w:t>
              </w:r>
            </w:hyperlink>
          </w:p>
        </w:tc>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19">
              <w:r>
                <w:rPr>
                  <w:rStyle w:val="InternetLink"/>
                  <w:rFonts w:ascii="Times New Roman;serif" w:hAnsi="Times New Roman;serif"/>
                  <w:b w:val="false"/>
                  <w:color w:val="0000FF"/>
                  <w:sz w:val="20"/>
                  <w:u w:val="single"/>
                </w:rPr>
                <w:t>Unresolved Staff Comments</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93253b6c6d743009d916199362386a6_19">
              <w:r>
                <w:rPr>
                  <w:rStyle w:val="InternetLink"/>
                  <w:rFonts w:ascii="Times New Roman;serif" w:hAnsi="Times New Roman;serif"/>
                  <w:b w:val="false"/>
                  <w:color w:val="0000FF"/>
                  <w:sz w:val="20"/>
                  <w:u w:val="single"/>
                </w:rPr>
                <w:t>22</w:t>
              </w:r>
            </w:hyperlink>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22">
              <w:r>
                <w:rPr>
                  <w:rStyle w:val="InternetLink"/>
                  <w:rFonts w:ascii="Times New Roman;serif" w:hAnsi="Times New Roman;serif"/>
                  <w:b w:val="false"/>
                  <w:color w:val="000080"/>
                  <w:sz w:val="20"/>
                  <w:u w:val="single"/>
                </w:rPr>
                <w:t>Item 1C</w:t>
              </w:r>
            </w:hyperlink>
            <w:r>
              <w:rPr>
                <w:rFonts w:ascii="Times New Roman;serif" w:hAnsi="Times New Roman;serif"/>
                <w:b w:val="false"/>
                <w:color w:val="0000FF"/>
                <w:sz w:val="20"/>
                <w:u w:val="single"/>
              </w:rPr>
              <w:t>.</w:t>
            </w:r>
          </w:p>
        </w:tc>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22">
              <w:r>
                <w:rPr>
                  <w:rStyle w:val="InternetLink"/>
                  <w:rFonts w:ascii="Times New Roman;serif" w:hAnsi="Times New Roman;serif"/>
                  <w:b w:val="false"/>
                  <w:color w:val="0000FF"/>
                  <w:sz w:val="20"/>
                  <w:u w:val="single"/>
                </w:rPr>
                <w:t>Cybersecurity</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93253b6c6d743009d916199362386a6_22">
              <w:r>
                <w:rPr>
                  <w:rStyle w:val="InternetLink"/>
                  <w:rFonts w:ascii="Times New Roman;serif" w:hAnsi="Times New Roman;serif"/>
                  <w:b w:val="false"/>
                  <w:color w:val="0000FF"/>
                  <w:sz w:val="20"/>
                  <w:u w:val="single"/>
                </w:rPr>
                <w:t>22</w:t>
              </w:r>
            </w:hyperlink>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25">
              <w:r>
                <w:rPr>
                  <w:rStyle w:val="InternetLink"/>
                  <w:rFonts w:ascii="Times New Roman;serif" w:hAnsi="Times New Roman;serif"/>
                  <w:b w:val="false"/>
                  <w:color w:val="0000FF"/>
                  <w:sz w:val="20"/>
                  <w:u w:val="single"/>
                </w:rPr>
                <w:t>Item 2.</w:t>
              </w:r>
            </w:hyperlink>
          </w:p>
        </w:tc>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25">
              <w:r>
                <w:rPr>
                  <w:rStyle w:val="InternetLink"/>
                  <w:rFonts w:ascii="Times New Roman;serif" w:hAnsi="Times New Roman;serif"/>
                  <w:b w:val="false"/>
                  <w:color w:val="0000FF"/>
                  <w:sz w:val="20"/>
                  <w:u w:val="single"/>
                </w:rPr>
                <w:t>Properties</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93253b6c6d743009d916199362386a6_25">
              <w:r>
                <w:rPr>
                  <w:rStyle w:val="InternetLink"/>
                  <w:rFonts w:ascii="Times New Roman;serif" w:hAnsi="Times New Roman;serif"/>
                  <w:b w:val="false"/>
                  <w:color w:val="0000FF"/>
                  <w:sz w:val="20"/>
                  <w:u w:val="single"/>
                </w:rPr>
                <w:t>24</w:t>
              </w:r>
            </w:hyperlink>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28">
              <w:r>
                <w:rPr>
                  <w:rStyle w:val="InternetLink"/>
                  <w:rFonts w:ascii="Times New Roman;serif" w:hAnsi="Times New Roman;serif"/>
                  <w:b w:val="false"/>
                  <w:color w:val="0000FF"/>
                  <w:sz w:val="20"/>
                  <w:u w:val="single"/>
                </w:rPr>
                <w:t>Item 3.</w:t>
              </w:r>
            </w:hyperlink>
          </w:p>
        </w:tc>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28">
              <w:r>
                <w:rPr>
                  <w:rStyle w:val="InternetLink"/>
                  <w:rFonts w:ascii="Times New Roman;serif" w:hAnsi="Times New Roman;serif"/>
                  <w:b w:val="false"/>
                  <w:color w:val="0000FF"/>
                  <w:sz w:val="20"/>
                  <w:u w:val="single"/>
                </w:rPr>
                <w:t>Legal Proceedings</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93253b6c6d743009d916199362386a6_28">
              <w:r>
                <w:rPr>
                  <w:rStyle w:val="InternetLink"/>
                  <w:rFonts w:ascii="Times New Roman;serif" w:hAnsi="Times New Roman;serif"/>
                  <w:b w:val="false"/>
                  <w:color w:val="0000FF"/>
                  <w:sz w:val="20"/>
                  <w:u w:val="single"/>
                </w:rPr>
                <w:t>24</w:t>
              </w:r>
            </w:hyperlink>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31">
              <w:r>
                <w:rPr>
                  <w:rStyle w:val="InternetLink"/>
                  <w:rFonts w:ascii="Times New Roman;serif" w:hAnsi="Times New Roman;serif"/>
                  <w:b w:val="false"/>
                  <w:color w:val="0000FF"/>
                  <w:sz w:val="20"/>
                  <w:u w:val="single"/>
                </w:rPr>
                <w:t>Item 4.</w:t>
              </w:r>
            </w:hyperlink>
          </w:p>
        </w:tc>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31">
              <w:r>
                <w:rPr>
                  <w:rStyle w:val="InternetLink"/>
                  <w:rFonts w:ascii="Times New Roman;serif" w:hAnsi="Times New Roman;serif"/>
                  <w:b w:val="false"/>
                  <w:color w:val="0000FF"/>
                  <w:sz w:val="20"/>
                  <w:u w:val="single"/>
                </w:rPr>
                <w:t>Mine Safety Disclosures</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93253b6c6d743009d916199362386a6_31">
              <w:r>
                <w:rPr>
                  <w:rStyle w:val="InternetLink"/>
                  <w:rFonts w:ascii="Times New Roman;serif" w:hAnsi="Times New Roman;serif"/>
                  <w:b w:val="false"/>
                  <w:color w:val="0000FF"/>
                  <w:sz w:val="20"/>
                  <w:u w:val="single"/>
                </w:rPr>
                <w:t>25</w:t>
              </w:r>
            </w:hyperlink>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34">
              <w:r>
                <w:rPr>
                  <w:rStyle w:val="InternetLink"/>
                  <w:rFonts w:ascii="Times New Roman;serif" w:hAnsi="Times New Roman;serif"/>
                  <w:b w:val="false"/>
                  <w:color w:val="0000FF"/>
                  <w:sz w:val="20"/>
                  <w:u w:val="single"/>
                </w:rPr>
                <w:t>PART II</w:t>
              </w:r>
            </w:hyperlink>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37">
              <w:r>
                <w:rPr>
                  <w:rStyle w:val="InternetLink"/>
                  <w:rFonts w:ascii="Times New Roman;serif" w:hAnsi="Times New Roman;serif"/>
                  <w:b w:val="false"/>
                  <w:color w:val="0000FF"/>
                  <w:sz w:val="20"/>
                  <w:u w:val="single"/>
                </w:rPr>
                <w:t>Item 5.</w:t>
              </w:r>
            </w:hyperlink>
          </w:p>
        </w:tc>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37">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93253b6c6d743009d916199362386a6_37">
              <w:r>
                <w:rPr>
                  <w:rStyle w:val="InternetLink"/>
                  <w:rFonts w:ascii="Times New Roman;serif" w:hAnsi="Times New Roman;serif"/>
                  <w:b w:val="false"/>
                  <w:color w:val="0000FF"/>
                  <w:sz w:val="20"/>
                  <w:u w:val="single"/>
                </w:rPr>
                <w:t>26</w:t>
              </w:r>
            </w:hyperlink>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40">
              <w:r>
                <w:rPr>
                  <w:rStyle w:val="InternetLink"/>
                  <w:rFonts w:ascii="Times New Roman;serif" w:hAnsi="Times New Roman;serif"/>
                  <w:b w:val="false"/>
                  <w:color w:val="0000FF"/>
                  <w:sz w:val="20"/>
                  <w:u w:val="single"/>
                </w:rPr>
                <w:t>Item 6.</w:t>
              </w:r>
            </w:hyperlink>
          </w:p>
        </w:tc>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40">
              <w:r>
                <w:rPr>
                  <w:rStyle w:val="InternetLink"/>
                  <w:rFonts w:ascii="Times New Roman;serif" w:hAnsi="Times New Roman;serif"/>
                  <w:b w:val="false"/>
                  <w:color w:val="0000FF"/>
                  <w:sz w:val="20"/>
                  <w:u w:val="single"/>
                </w:rPr>
                <w:t>Reserved</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93253b6c6d743009d916199362386a6_40">
              <w:r>
                <w:rPr>
                  <w:rStyle w:val="InternetLink"/>
                  <w:rFonts w:ascii="Times New Roman;serif" w:hAnsi="Times New Roman;serif"/>
                  <w:b w:val="false"/>
                  <w:color w:val="0000FF"/>
                  <w:sz w:val="20"/>
                  <w:u w:val="single"/>
                </w:rPr>
                <w:t>27</w:t>
              </w:r>
            </w:hyperlink>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43">
              <w:r>
                <w:rPr>
                  <w:rStyle w:val="InternetLink"/>
                  <w:rFonts w:ascii="Times New Roman;serif" w:hAnsi="Times New Roman;serif"/>
                  <w:b w:val="false"/>
                  <w:color w:val="0000FF"/>
                  <w:sz w:val="20"/>
                  <w:u w:val="single"/>
                </w:rPr>
                <w:t>Item 7.</w:t>
              </w:r>
            </w:hyperlink>
          </w:p>
        </w:tc>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43">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93253b6c6d743009d916199362386a6_43">
              <w:r>
                <w:rPr>
                  <w:rStyle w:val="InternetLink"/>
                  <w:rFonts w:ascii="Times New Roman;serif" w:hAnsi="Times New Roman;serif"/>
                  <w:b w:val="false"/>
                  <w:color w:val="0000FF"/>
                  <w:sz w:val="20"/>
                  <w:u w:val="single"/>
                </w:rPr>
                <w:t>28</w:t>
              </w:r>
            </w:hyperlink>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76">
              <w:r>
                <w:rPr>
                  <w:rStyle w:val="InternetLink"/>
                  <w:rFonts w:ascii="Times New Roman;serif" w:hAnsi="Times New Roman;serif"/>
                  <w:b w:val="false"/>
                  <w:color w:val="0000FF"/>
                  <w:sz w:val="20"/>
                  <w:u w:val="single"/>
                </w:rPr>
                <w:t>Item 7A.</w:t>
              </w:r>
            </w:hyperlink>
          </w:p>
        </w:tc>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76">
              <w:r>
                <w:rPr>
                  <w:rStyle w:val="InternetLink"/>
                  <w:rFonts w:ascii="Times New Roman;serif" w:hAnsi="Times New Roman;serif"/>
                  <w:b w:val="false"/>
                  <w:color w:val="0000FF"/>
                  <w:sz w:val="20"/>
                  <w:u w:val="single"/>
                </w:rPr>
                <w:t>Quantitative and Qualitative Disclosures About Market Risk</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93253b6c6d743009d916199362386a6_76">
              <w:r>
                <w:rPr>
                  <w:rStyle w:val="InternetLink"/>
                  <w:rFonts w:ascii="Times New Roman;serif" w:hAnsi="Times New Roman;serif"/>
                  <w:b w:val="false"/>
                  <w:color w:val="0000FF"/>
                  <w:sz w:val="20"/>
                  <w:u w:val="single"/>
                </w:rPr>
                <w:t>44</w:t>
              </w:r>
            </w:hyperlink>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79">
              <w:r>
                <w:rPr>
                  <w:rStyle w:val="InternetLink"/>
                  <w:rFonts w:ascii="Times New Roman;serif" w:hAnsi="Times New Roman;serif"/>
                  <w:b w:val="false"/>
                  <w:color w:val="0000FF"/>
                  <w:sz w:val="20"/>
                  <w:u w:val="single"/>
                </w:rPr>
                <w:t>Item 8.</w:t>
              </w:r>
            </w:hyperlink>
          </w:p>
        </w:tc>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79">
              <w:r>
                <w:rPr>
                  <w:rStyle w:val="InternetLink"/>
                  <w:rFonts w:ascii="Times New Roman;serif" w:hAnsi="Times New Roman;serif"/>
                  <w:b w:val="false"/>
                  <w:color w:val="0000FF"/>
                  <w:sz w:val="20"/>
                  <w:u w:val="single"/>
                </w:rPr>
                <w:t>Financial Statements and Supplementary Data</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93253b6c6d743009d916199362386a6_79">
              <w:r>
                <w:rPr>
                  <w:rStyle w:val="InternetLink"/>
                  <w:rFonts w:ascii="Times New Roman;serif" w:hAnsi="Times New Roman;serif"/>
                  <w:b w:val="false"/>
                  <w:color w:val="0000FF"/>
                  <w:sz w:val="20"/>
                  <w:u w:val="single"/>
                </w:rPr>
                <w:t>46</w:t>
              </w:r>
            </w:hyperlink>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169">
              <w:r>
                <w:rPr>
                  <w:rStyle w:val="InternetLink"/>
                  <w:rFonts w:ascii="Times New Roman;serif" w:hAnsi="Times New Roman;serif"/>
                  <w:b w:val="false"/>
                  <w:color w:val="0000FF"/>
                  <w:sz w:val="20"/>
                  <w:u w:val="single"/>
                </w:rPr>
                <w:t>Item 9.</w:t>
              </w:r>
            </w:hyperlink>
          </w:p>
        </w:tc>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169">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93253b6c6d743009d916199362386a6_169">
              <w:r>
                <w:rPr>
                  <w:rStyle w:val="InternetLink"/>
                  <w:rFonts w:ascii="Times New Roman;serif" w:hAnsi="Times New Roman;serif"/>
                  <w:b w:val="false"/>
                  <w:color w:val="0000FF"/>
                  <w:sz w:val="20"/>
                  <w:u w:val="single"/>
                </w:rPr>
                <w:t>88</w:t>
              </w:r>
            </w:hyperlink>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172">
              <w:r>
                <w:rPr>
                  <w:rStyle w:val="InternetLink"/>
                  <w:rFonts w:ascii="Times New Roman;serif" w:hAnsi="Times New Roman;serif"/>
                  <w:b w:val="false"/>
                  <w:color w:val="0000FF"/>
                  <w:sz w:val="20"/>
                  <w:u w:val="single"/>
                </w:rPr>
                <w:t>Item 9A.</w:t>
              </w:r>
            </w:hyperlink>
          </w:p>
        </w:tc>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172">
              <w:r>
                <w:rPr>
                  <w:rStyle w:val="InternetLink"/>
                  <w:rFonts w:ascii="Times New Roman;serif" w:hAnsi="Times New Roman;serif"/>
                  <w:b w:val="false"/>
                  <w:color w:val="0000FF"/>
                  <w:sz w:val="20"/>
                  <w:u w:val="single"/>
                </w:rPr>
                <w:t>Controls and Procedures</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93253b6c6d743009d916199362386a6_172">
              <w:r>
                <w:rPr>
                  <w:rStyle w:val="InternetLink"/>
                  <w:rFonts w:ascii="Times New Roman;serif" w:hAnsi="Times New Roman;serif"/>
                  <w:b w:val="false"/>
                  <w:color w:val="0000FF"/>
                  <w:sz w:val="20"/>
                  <w:u w:val="single"/>
                </w:rPr>
                <w:t>89</w:t>
              </w:r>
            </w:hyperlink>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175">
              <w:r>
                <w:rPr>
                  <w:rStyle w:val="InternetLink"/>
                  <w:rFonts w:ascii="Times New Roman;serif" w:hAnsi="Times New Roman;serif"/>
                  <w:b w:val="false"/>
                  <w:color w:val="0000FF"/>
                  <w:sz w:val="20"/>
                  <w:u w:val="single"/>
                </w:rPr>
                <w:t>Item 9B.</w:t>
              </w:r>
            </w:hyperlink>
          </w:p>
        </w:tc>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175">
              <w:r>
                <w:rPr>
                  <w:rStyle w:val="InternetLink"/>
                  <w:rFonts w:ascii="Times New Roman;serif" w:hAnsi="Times New Roman;serif"/>
                  <w:b w:val="false"/>
                  <w:color w:val="0000FF"/>
                  <w:sz w:val="20"/>
                  <w:u w:val="single"/>
                </w:rPr>
                <w:t>Other Information</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93253b6c6d743009d916199362386a6_175">
              <w:r>
                <w:rPr>
                  <w:rStyle w:val="InternetLink"/>
                  <w:rFonts w:ascii="Times New Roman;serif" w:hAnsi="Times New Roman;serif"/>
                  <w:b w:val="false"/>
                  <w:color w:val="0000FF"/>
                  <w:sz w:val="20"/>
                  <w:u w:val="single"/>
                </w:rPr>
                <w:t>89</w:t>
              </w:r>
            </w:hyperlink>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1936">
              <w:r>
                <w:rPr>
                  <w:rStyle w:val="InternetLink"/>
                  <w:rFonts w:ascii="Times New Roman;serif" w:hAnsi="Times New Roman;serif"/>
                  <w:b w:val="false"/>
                  <w:color w:val="000080"/>
                  <w:sz w:val="20"/>
                  <w:u w:val="single"/>
                </w:rPr>
                <w:t xml:space="preserve">Item </w:t>
              </w:r>
            </w:hyperlink>
            <w:hyperlink w:anchor="id93253b6c6d743009d916199362386a6_1936">
              <w:r>
                <w:rPr>
                  <w:rStyle w:val="InternetLink"/>
                  <w:rFonts w:ascii="Times New Roman;serif" w:hAnsi="Times New Roman;serif"/>
                  <w:b w:val="false"/>
                  <w:color w:val="000080"/>
                  <w:sz w:val="20"/>
                  <w:u w:val="single"/>
                </w:rPr>
                <w:t>9</w:t>
              </w:r>
            </w:hyperlink>
            <w:hyperlink w:anchor="id93253b6c6d743009d916199362386a6_1936">
              <w:r>
                <w:rPr>
                  <w:rStyle w:val="InternetLink"/>
                  <w:rFonts w:ascii="Times New Roman;serif" w:hAnsi="Times New Roman;serif"/>
                  <w:b w:val="false"/>
                  <w:color w:val="000080"/>
                  <w:sz w:val="20"/>
                  <w:u w:val="single"/>
                </w:rPr>
                <w:t>C.</w:t>
              </w:r>
            </w:hyperlink>
          </w:p>
        </w:tc>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1936">
              <w:r>
                <w:rPr>
                  <w:rStyle w:val="InternetLink"/>
                  <w:rFonts w:ascii="Times New Roman;serif" w:hAnsi="Times New Roman;serif"/>
                  <w:b w:val="false"/>
                  <w:color w:val="000080"/>
                  <w:sz w:val="20"/>
                  <w:u w:val="single"/>
                </w:rPr>
                <w:t>D</w:t>
              </w:r>
            </w:hyperlink>
            <w:hyperlink w:anchor="id93253b6c6d743009d916199362386a6_1936">
              <w:r>
                <w:rPr>
                  <w:rStyle w:val="InternetLink"/>
                  <w:rFonts w:ascii="Times New Roman;serif" w:hAnsi="Times New Roman;serif"/>
                  <w:b w:val="false"/>
                  <w:color w:val="000080"/>
                  <w:sz w:val="20"/>
                  <w:u w:val="single"/>
                </w:rPr>
                <w:t xml:space="preserve">isclosure Regarding Foreign </w:t>
              </w:r>
            </w:hyperlink>
            <w:hyperlink w:anchor="id93253b6c6d743009d916199362386a6_1936">
              <w:r>
                <w:rPr>
                  <w:rStyle w:val="InternetLink"/>
                  <w:rFonts w:ascii="Times New Roman;serif" w:hAnsi="Times New Roman;serif"/>
                  <w:b w:val="false"/>
                  <w:color w:val="000080"/>
                  <w:sz w:val="20"/>
                  <w:u w:val="single"/>
                </w:rPr>
                <w:t>Jurisdictions</w:t>
              </w:r>
            </w:hyperlink>
            <w:hyperlink w:anchor="id93253b6c6d743009d916199362386a6_1936">
              <w:r>
                <w:rPr>
                  <w:rStyle w:val="InternetLink"/>
                  <w:rFonts w:ascii="Times New Roman;serif" w:hAnsi="Times New Roman;serif"/>
                  <w:b w:val="false"/>
                  <w:color w:val="000080"/>
                  <w:sz w:val="20"/>
                  <w:u w:val="single"/>
                </w:rPr>
                <w:t xml:space="preserve"> </w:t>
              </w:r>
            </w:hyperlink>
            <w:hyperlink w:anchor="id93253b6c6d743009d916199362386a6_1936">
              <w:r>
                <w:rPr>
                  <w:rStyle w:val="InternetLink"/>
                  <w:rFonts w:ascii="Times New Roman;serif" w:hAnsi="Times New Roman;serif"/>
                  <w:b w:val="false"/>
                  <w:color w:val="000080"/>
                  <w:sz w:val="20"/>
                  <w:u w:val="single"/>
                </w:rPr>
                <w:t>That</w:t>
              </w:r>
            </w:hyperlink>
            <w:hyperlink w:anchor="id93253b6c6d743009d916199362386a6_1936">
              <w:r>
                <w:rPr>
                  <w:rStyle w:val="InternetLink"/>
                  <w:rFonts w:ascii="Times New Roman;serif" w:hAnsi="Times New Roman;serif"/>
                  <w:b w:val="false"/>
                  <w:color w:val="000080"/>
                  <w:sz w:val="20"/>
                  <w:u w:val="single"/>
                </w:rPr>
                <w:t xml:space="preserve"> </w:t>
              </w:r>
            </w:hyperlink>
            <w:hyperlink w:anchor="id93253b6c6d743009d916199362386a6_1936">
              <w:r>
                <w:rPr>
                  <w:rStyle w:val="InternetLink"/>
                  <w:rFonts w:ascii="Times New Roman;serif" w:hAnsi="Times New Roman;serif"/>
                  <w:b w:val="false"/>
                  <w:color w:val="000080"/>
                  <w:sz w:val="20"/>
                  <w:u w:val="single"/>
                </w:rPr>
                <w:t>Prevent</w:t>
              </w:r>
            </w:hyperlink>
            <w:hyperlink w:anchor="id93253b6c6d743009d916199362386a6_1936">
              <w:r>
                <w:rPr>
                  <w:rStyle w:val="InternetLink"/>
                  <w:rFonts w:ascii="Times New Roman;serif" w:hAnsi="Times New Roman;serif"/>
                  <w:b w:val="false"/>
                  <w:color w:val="000080"/>
                  <w:sz w:val="20"/>
                  <w:u w:val="single"/>
                </w:rPr>
                <w:t xml:space="preserve"> Inspections</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93253b6c6d743009d916199362386a6_1936">
              <w:r>
                <w:rPr>
                  <w:rStyle w:val="InternetLink"/>
                  <w:rFonts w:ascii="Times New Roman;serif" w:hAnsi="Times New Roman;serif"/>
                  <w:b w:val="false"/>
                  <w:color w:val="0000FF"/>
                  <w:sz w:val="20"/>
                  <w:u w:val="single"/>
                </w:rPr>
                <w:t>89</w:t>
              </w:r>
            </w:hyperlink>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178">
              <w:r>
                <w:rPr>
                  <w:rStyle w:val="InternetLink"/>
                  <w:rFonts w:ascii="Times New Roman;serif" w:hAnsi="Times New Roman;serif"/>
                  <w:b w:val="false"/>
                  <w:color w:val="0000FF"/>
                  <w:sz w:val="20"/>
                  <w:u w:val="single"/>
                </w:rPr>
                <w:t>PART III</w:t>
              </w:r>
            </w:hyperlink>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181">
              <w:r>
                <w:rPr>
                  <w:rStyle w:val="InternetLink"/>
                  <w:rFonts w:ascii="Times New Roman;serif" w:hAnsi="Times New Roman;serif"/>
                  <w:b w:val="false"/>
                  <w:color w:val="0000FF"/>
                  <w:sz w:val="20"/>
                  <w:u w:val="single"/>
                </w:rPr>
                <w:t>Item 10.</w:t>
              </w:r>
            </w:hyperlink>
          </w:p>
        </w:tc>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181">
              <w:r>
                <w:rPr>
                  <w:rStyle w:val="InternetLink"/>
                  <w:rFonts w:ascii="Times New Roman;serif" w:hAnsi="Times New Roman;serif"/>
                  <w:b w:val="false"/>
                  <w:color w:val="0000FF"/>
                  <w:sz w:val="20"/>
                  <w:u w:val="single"/>
                </w:rPr>
                <w:t>Directors, Executive Officers and Corporate Governance</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93253b6c6d743009d916199362386a6_181">
              <w:r>
                <w:rPr>
                  <w:rStyle w:val="InternetLink"/>
                  <w:rFonts w:ascii="Times New Roman;serif" w:hAnsi="Times New Roman;serif"/>
                  <w:b w:val="false"/>
                  <w:color w:val="0000FF"/>
                  <w:sz w:val="20"/>
                  <w:u w:val="single"/>
                </w:rPr>
                <w:t>90</w:t>
              </w:r>
            </w:hyperlink>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184">
              <w:r>
                <w:rPr>
                  <w:rStyle w:val="InternetLink"/>
                  <w:rFonts w:ascii="Times New Roman;serif" w:hAnsi="Times New Roman;serif"/>
                  <w:b w:val="false"/>
                  <w:color w:val="0000FF"/>
                  <w:sz w:val="20"/>
                  <w:u w:val="single"/>
                </w:rPr>
                <w:t>Item 11.</w:t>
              </w:r>
            </w:hyperlink>
          </w:p>
        </w:tc>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184">
              <w:r>
                <w:rPr>
                  <w:rStyle w:val="InternetLink"/>
                  <w:rFonts w:ascii="Times New Roman;serif" w:hAnsi="Times New Roman;serif"/>
                  <w:b w:val="false"/>
                  <w:color w:val="0000FF"/>
                  <w:sz w:val="20"/>
                  <w:u w:val="single"/>
                </w:rPr>
                <w:t>Executive Compensation</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93253b6c6d743009d916199362386a6_184">
              <w:r>
                <w:rPr>
                  <w:rStyle w:val="InternetLink"/>
                  <w:rFonts w:ascii="Times New Roman;serif" w:hAnsi="Times New Roman;serif"/>
                  <w:b w:val="false"/>
                  <w:color w:val="0000FF"/>
                  <w:sz w:val="20"/>
                  <w:u w:val="single"/>
                </w:rPr>
                <w:t>90</w:t>
              </w:r>
            </w:hyperlink>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187">
              <w:r>
                <w:rPr>
                  <w:rStyle w:val="InternetLink"/>
                  <w:rFonts w:ascii="Times New Roman;serif" w:hAnsi="Times New Roman;serif"/>
                  <w:b w:val="false"/>
                  <w:color w:val="0000FF"/>
                  <w:sz w:val="20"/>
                  <w:u w:val="single"/>
                </w:rPr>
                <w:t>Item 12.</w:t>
              </w:r>
            </w:hyperlink>
          </w:p>
        </w:tc>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187">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93253b6c6d743009d916199362386a6_187">
              <w:r>
                <w:rPr>
                  <w:rStyle w:val="InternetLink"/>
                  <w:rFonts w:ascii="Times New Roman;serif" w:hAnsi="Times New Roman;serif"/>
                  <w:b w:val="false"/>
                  <w:color w:val="0000FF"/>
                  <w:sz w:val="20"/>
                  <w:u w:val="single"/>
                </w:rPr>
                <w:t>90</w:t>
              </w:r>
            </w:hyperlink>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190">
              <w:r>
                <w:rPr>
                  <w:rStyle w:val="InternetLink"/>
                  <w:rFonts w:ascii="Times New Roman;serif" w:hAnsi="Times New Roman;serif"/>
                  <w:b w:val="false"/>
                  <w:color w:val="0000FF"/>
                  <w:sz w:val="20"/>
                  <w:u w:val="single"/>
                </w:rPr>
                <w:t>Item 13.</w:t>
              </w:r>
            </w:hyperlink>
          </w:p>
        </w:tc>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190">
              <w:r>
                <w:rPr>
                  <w:rStyle w:val="InternetLink"/>
                  <w:rFonts w:ascii="Times New Roman;serif" w:hAnsi="Times New Roman;serif"/>
                  <w:b w:val="false"/>
                  <w:color w:val="0000FF"/>
                  <w:sz w:val="20"/>
                  <w:u w:val="single"/>
                </w:rPr>
                <w:t>Certain Relationships and Related Transactions, and Director Independence</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93253b6c6d743009d916199362386a6_190">
              <w:r>
                <w:rPr>
                  <w:rStyle w:val="InternetLink"/>
                  <w:rFonts w:ascii="Times New Roman;serif" w:hAnsi="Times New Roman;serif"/>
                  <w:b w:val="false"/>
                  <w:color w:val="0000FF"/>
                  <w:sz w:val="20"/>
                  <w:u w:val="single"/>
                </w:rPr>
                <w:t>90</w:t>
              </w:r>
            </w:hyperlink>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193">
              <w:r>
                <w:rPr>
                  <w:rStyle w:val="InternetLink"/>
                  <w:rFonts w:ascii="Times New Roman;serif" w:hAnsi="Times New Roman;serif"/>
                  <w:b w:val="false"/>
                  <w:color w:val="0000FF"/>
                  <w:sz w:val="20"/>
                  <w:u w:val="single"/>
                </w:rPr>
                <w:t>Item 14.</w:t>
              </w:r>
            </w:hyperlink>
          </w:p>
        </w:tc>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193">
              <w:r>
                <w:rPr>
                  <w:rStyle w:val="InternetLink"/>
                  <w:rFonts w:ascii="Times New Roman;serif" w:hAnsi="Times New Roman;serif"/>
                  <w:b w:val="false"/>
                  <w:color w:val="0000FF"/>
                  <w:sz w:val="20"/>
                  <w:u w:val="single"/>
                </w:rPr>
                <w:t>Principal Accounting Fees and Services</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93253b6c6d743009d916199362386a6_193">
              <w:r>
                <w:rPr>
                  <w:rStyle w:val="InternetLink"/>
                  <w:rFonts w:ascii="Times New Roman;serif" w:hAnsi="Times New Roman;serif"/>
                  <w:b w:val="false"/>
                  <w:color w:val="0000FF"/>
                  <w:sz w:val="20"/>
                  <w:u w:val="single"/>
                </w:rPr>
                <w:t>90</w:t>
              </w:r>
            </w:hyperlink>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196">
              <w:r>
                <w:rPr>
                  <w:rStyle w:val="InternetLink"/>
                  <w:rFonts w:ascii="Times New Roman;serif" w:hAnsi="Times New Roman;serif"/>
                  <w:b w:val="false"/>
                  <w:color w:val="0000FF"/>
                  <w:sz w:val="20"/>
                  <w:u w:val="single"/>
                </w:rPr>
                <w:t>PART IV</w:t>
              </w:r>
            </w:hyperlink>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199">
              <w:r>
                <w:rPr>
                  <w:rStyle w:val="InternetLink"/>
                  <w:rFonts w:ascii="Times New Roman;serif" w:hAnsi="Times New Roman;serif"/>
                  <w:b w:val="false"/>
                  <w:color w:val="0000FF"/>
                  <w:sz w:val="20"/>
                  <w:u w:val="single"/>
                </w:rPr>
                <w:t>Item 15.</w:t>
              </w:r>
            </w:hyperlink>
          </w:p>
        </w:tc>
        <w:tc>
          <w:tcPr>
            <w:tcW w:w="7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199">
              <w:r>
                <w:rPr>
                  <w:rStyle w:val="InternetLink"/>
                  <w:rFonts w:ascii="Times New Roman;serif" w:hAnsi="Times New Roman;serif"/>
                  <w:b w:val="false"/>
                  <w:color w:val="0000FF"/>
                  <w:sz w:val="20"/>
                  <w:u w:val="single"/>
                </w:rPr>
                <w:t>Exhibits, Financial Statement Schedules</w:t>
              </w:r>
            </w:hyperlink>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93253b6c6d743009d916199362386a6_199">
              <w:r>
                <w:rPr>
                  <w:rStyle w:val="InternetLink"/>
                  <w:rFonts w:ascii="Times New Roman;serif" w:hAnsi="Times New Roman;serif"/>
                  <w:b w:val="false"/>
                  <w:color w:val="0000FF"/>
                  <w:sz w:val="20"/>
                  <w:u w:val="single"/>
                </w:rPr>
                <w:t>91</w:t>
              </w:r>
            </w:hyperlink>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211">
              <w:r>
                <w:rPr>
                  <w:rStyle w:val="InternetLink"/>
                  <w:rFonts w:ascii="Times New Roman;serif" w:hAnsi="Times New Roman;serif"/>
                  <w:b w:val="false"/>
                  <w:color w:val="0000FF"/>
                  <w:sz w:val="20"/>
                  <w:u w:val="single"/>
                </w:rPr>
                <w:t>Item 16.</w:t>
              </w:r>
            </w:hyperlink>
          </w:p>
        </w:tc>
        <w:tc>
          <w:tcPr>
            <w:tcW w:w="7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211">
              <w:r>
                <w:rPr>
                  <w:rStyle w:val="InternetLink"/>
                  <w:rFonts w:ascii="Times New Roman;serif" w:hAnsi="Times New Roman;serif"/>
                  <w:b w:val="false"/>
                  <w:color w:val="0000FF"/>
                  <w:sz w:val="20"/>
                  <w:u w:val="single"/>
                </w:rPr>
                <w:t>Form 10-K Summary</w:t>
              </w:r>
            </w:hyperlink>
          </w:p>
        </w:tc>
        <w:tc>
          <w:tcPr>
            <w:tcW w:w="5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93253b6c6d743009d916199362386a6_211">
              <w:r>
                <w:rPr>
                  <w:rStyle w:val="InternetLink"/>
                  <w:rFonts w:ascii="Times New Roman;serif" w:hAnsi="Times New Roman;serif"/>
                  <w:b w:val="false"/>
                  <w:color w:val="0000FF"/>
                  <w:sz w:val="20"/>
                  <w:u w:val="single"/>
                </w:rPr>
                <w:t>94</w:t>
              </w:r>
            </w:hyperlink>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214">
              <w:r>
                <w:rPr>
                  <w:rStyle w:val="InternetLink"/>
                  <w:rFonts w:ascii="Times New Roman;serif" w:hAnsi="Times New Roman;serif"/>
                  <w:b w:val="false"/>
                  <w:color w:val="0000FF"/>
                  <w:sz w:val="20"/>
                  <w:u w:val="single"/>
                </w:rPr>
                <w:t>SIGNATURES</w:t>
              </w:r>
            </w:hyperlink>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93253b6c6d743009d916199362386a6_214">
              <w:r>
                <w:rPr>
                  <w:rStyle w:val="InternetLink"/>
                  <w:rFonts w:ascii="Times New Roman;serif" w:hAnsi="Times New Roman;serif"/>
                  <w:b w:val="false"/>
                  <w:color w:val="0000FF"/>
                  <w:sz w:val="20"/>
                  <w:u w:val="single"/>
                </w:rPr>
                <w:t>95</w:t>
              </w:r>
            </w:hyperlink>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00"/>
        <w:jc w:val="both"/>
        <w:rPr>
          <w:rFonts w:ascii="Times New Roman;serif" w:hAnsi="Times New Roman;serif"/>
          <w:b/>
          <w:color w:val="000000"/>
          <w:sz w:val="24"/>
        </w:rPr>
      </w:pPr>
      <w:r>
        <w:rPr>
          <w:rFonts w:ascii="Times New Roman;serif" w:hAnsi="Times New Roman;serif"/>
          <w:b/>
          <w:color w:val="000000"/>
          <w:sz w:val="24"/>
        </w:rPr>
        <w:t>Special Note Regarding Forward-Looking Statements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This report contains forward-looking statements that express management's current views concerning expectations, estimates, trends, forecasts and projections about future events, trends, contingencies, circumstances, and industries in which FactSet operates and the beliefs and assumptions of management. These statements may include projections of our future financial performance and anticipated trends in our business. In some cases, you can identify these statements by words such as "may," "might," "will," "should," "expects," "plans," "anticipates," "believes," "estimates," "intends," "projects," "indicates," "predicts," "potential," or "continue," and the negatives of those terms and similar expressions. Statements concerning our financial position, business strategy and plans or objectives for future operations are forward-looking statements.</w:t>
      </w:r>
    </w:p>
    <w:p>
      <w:pPr>
        <w:pStyle w:val="TextBody"/>
        <w:bidi w:val="0"/>
        <w:spacing w:lineRule="auto" w:line="288" w:before="200" w:after="200"/>
        <w:jc w:val="both"/>
        <w:rPr/>
      </w:pPr>
      <w:r>
        <w:rPr>
          <w:rFonts w:ascii="Times New Roman;serif" w:hAnsi="Times New Roman;serif"/>
          <w:b w:val="false"/>
          <w:color w:val="000000"/>
          <w:sz w:val="20"/>
        </w:rPr>
        <w:t>Forward-looking statements are not guarantees of future performance and involve a number of known and unknown risks, uncertainties and assumptions. Factors that could cause our actual results, level of activity, performance or achievements to differ materially from those expressed or implied in forward-looking statements include, among others, the factors discussed under Part I, Item 1A.</w:t>
      </w:r>
      <w:r>
        <w:rPr>
          <w:color w:val="000000"/>
        </w:rPr>
        <w:t xml:space="preserve"> </w:t>
      </w:r>
      <w:r>
        <w:rPr>
          <w:rFonts w:ascii="Times New Roman;serif" w:hAnsi="Times New Roman;serif"/>
          <w:b w:val="false"/>
          <w:i/>
          <w:color w:val="000000"/>
          <w:sz w:val="20"/>
        </w:rPr>
        <w:t xml:space="preserve">Risk Factors, </w:t>
      </w:r>
      <w:r>
        <w:rPr>
          <w:rFonts w:ascii="Times New Roman;serif" w:hAnsi="Times New Roman;serif"/>
          <w:b w:val="false"/>
          <w:color w:val="000000"/>
          <w:sz w:val="20"/>
        </w:rPr>
        <w:t>that should be specifically considered. FactSet cautions readers not to place undue reliance on any forward-looking statements, which speak only as of the dates on which they are made. FactSet undertakes no obligations to update or revise any forward-looking statement to reflect results, revised expectations, events or circumstances arising after the date on which it is made, except as required by applicable law.</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intend that all forward-looking statements we make will be subject to safe harbor protection of the federal securities laws as found in Section 27A of the Securities Act of 1933 and Section 21E of the Securities Exchange Act of 1934, as amended (the "Exchange Act").</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150"/>
        <w:jc w:val="left"/>
        <w:rPr>
          <w:rFonts w:ascii="Times New Roman;serif" w:hAnsi="Times New Roman;serif"/>
          <w:b/>
          <w:color w:val="000000"/>
          <w:sz w:val="24"/>
        </w:rPr>
      </w:pPr>
      <w:r>
        <w:rPr>
          <w:rFonts w:ascii="Times New Roman;serif" w:hAnsi="Times New Roman;serif"/>
          <w:b/>
          <w:color w:val="000000"/>
          <w:sz w:val="24"/>
        </w:rPr>
        <w:t>ITEM 1. BUSINESS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Corporate History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FactSet Research Systems Inc. and its wholly-owned subsidiaries ("we," "our," "us," the "Company" or "FactSet") was founded in 1978 and has been publicly traded since June 1996. We are dual-listed on the New York Stock Exchange ("NYSE") and the Nasdaq Stock Market ("Nasdaq") under the symbol "FDS". FactSet has been a member of the S&amp;P 500 since December 2021.</w:t>
      </w:r>
    </w:p>
    <w:p>
      <w:pPr>
        <w:pStyle w:val="TextBody"/>
        <w:bidi w:val="0"/>
        <w:spacing w:lineRule="auto" w:line="288" w:before="200" w:after="200"/>
        <w:jc w:val="both"/>
        <w:rPr>
          <w:rFonts w:ascii="Times New Roman;serif" w:hAnsi="Times New Roman;serif"/>
          <w:b/>
          <w:color w:val="000000"/>
          <w:sz w:val="20"/>
        </w:rPr>
      </w:pPr>
      <w:r>
        <w:rPr>
          <w:rFonts w:ascii="Times New Roman;serif" w:hAnsi="Times New Roman;serif"/>
          <w:b/>
          <w:color w:val="000000"/>
          <w:sz w:val="20"/>
        </w:rPr>
        <w:t>Business Overview</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FactSet is a global data and artificial intelligence ("AI") solutions provider to the financial markets with open and flexible technologies that deliver financial intelligence to finance professionals worldwide.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platform delivers expansive data, sophisticated analytics, and flexible, AI-powered technologies used by global financial professionals to power their critical investment, dealmaking and advisory workflows. As of August 31, 2026, we had more than 9,200 clients and over 260,000 professionals using our solutions, including institutional asset managers, bankers, wealth managers, asset owners, partners, hedge fund professionals, corporate users, private equity and venture capital professionals, and market infrastructure participants. Our revenues are primarily derived from subscriptions to our multi-asset class data and solutions that include workstations, portfolio analytics, enterprise data solutions, and AI solutions. We also offer managed services that operate as an extension of our clients' internal teams to support data, performance, risk and reporting, and AI-enabled workflows.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drive our business based on a detailed understanding of our clients’ workflows. We provide financial data and market intelligence on securities, companies, industries and people to enable our clients to research advisory, dealmaking and investment ideas and analyze, monitor and manage their portfolios. Our solutions for institutional buyside clients span the investment lifecycle of investment research, portfolio construction and analysis, trade execution, performance measurement, risk management and reporting. Our banking solutions facilitate company and market research, enabling clients to perform fundamental analysis, generate ideas, and build and distribute presentations through proprietary and third-party databases with global coverage of public and private markets, granular industry metrics, and deep historical data. Our wealth solutions support home office, advisory, and client engagement workflows, providing financial advisors with tools to monitor markets and their book of business, prospect for new clients, and generate proposals, while enhancing existing client relationships and improving firm-wide efficiency across the investment portfolio lifecycle. We provide open and flexible data and technology offerings, including a configurable desktop and mobile platform, comprehensive data solutions, cloud-based digital solutions, application programming interfaces ("APIs"), and model context protocol ("MCP") servers. AI is embedded throughout these offerings to enhance data discovery, automate routine workflows and improve the speed and accuracy of client insights. Our platform and solutions are supported by our client success and service teams.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our business through three reportable segments ("segments"): the Americas, EMEA and Asia Pacific. Within each segment, we offer a range of products, data, managed services, and analytical applications which can be tailored to a wide range of workflows.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Segments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segment revenues are based on the geographic region where our clients contract with us: </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Americas: The Americas segment primarily sells to clients in North, Central and South America. In the Americas, we have offices in eight states in the United States ("U.S."). Additionally, we have data centers in two states in the U.S. and an office in each of Brazil and Canada. Revenues from the Americas represented 65% of total revenues during fiscal 2026.</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EMEA: The EMEA segment primarily sells to clients in Europe, the Middle East and Africa via offices in Bulgaria, France, Germany, Italy, Latvia, Luxembourg, the Netherlands, Sweden, the United Arab Emirates and the United Kingdom ("UK"). Revenues from EMEA represented 24% of total revenues during fiscal 2026.</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Asia Pacific: The Asia Pacific segment primarily sells to clients in Asia and Australasia via office locations in Australia, China, Hong Kong Special Administrative Region ("SAR") of China, India, Japan, the Philippines and Singapore. Revenues from Asia Pacific represented 11% of total revenues during fiscal 2026.</w:t>
      </w:r>
    </w:p>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pPr>
      <w:r>
        <w:rPr>
          <w:rFonts w:ascii="Times New Roman;serif" w:hAnsi="Times New Roman;serif"/>
          <w:b w:val="false"/>
          <w:color w:val="000000"/>
          <w:sz w:val="20"/>
        </w:rPr>
        <w:t xml:space="preserve">Refer to Part II, Item 8. Note 16, </w:t>
      </w:r>
      <w:r>
        <w:rPr>
          <w:rFonts w:ascii="Times New Roman;serif" w:hAnsi="Times New Roman;serif"/>
          <w:b w:val="false"/>
          <w:i/>
          <w:color w:val="000000"/>
          <w:sz w:val="20"/>
        </w:rPr>
        <w:t xml:space="preserve">Segment Information, </w:t>
      </w:r>
      <w:r>
        <w:rPr>
          <w:rFonts w:ascii="Times New Roman;serif" w:hAnsi="Times New Roman;serif"/>
          <w:b w:val="false"/>
          <w:color w:val="000000"/>
          <w:sz w:val="20"/>
        </w:rPr>
        <w:t>in the Notes to the Consolidated Financial Statements included in this Annual Report on Form 10-K for more information on our segments.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Products and Solutions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deliver trusted, connected financial data, software applications, advanced analytics, and AI-powered solutions embedded in the critical workflows that finance professionals rely on every day. We serve a diverse array of clients in over 80 countries and a wide range of verticals, ranging from the largest global financial services firms with multiple business lines to smaller and independent firms. Our clients include institutional asset managers, asset owners, hedge funds, investment banks, wealth managers, private equity and venture capital firms, corporations, and market infrastructure participants.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our clients’ needs vary, we tailor our data and technology to become an integral component of the workflows that drive their decision-making. Clients access our capabilities in the form that best fits their operating model, whether through software applications, data feeds and APIs, or managed services. Many clients use our capabilities in more than one form, combining our data and applications with their own workflows and systems.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Underpinning these workflows is a broad and expanding set of financial markets data, including client-owned data, that we ingest, map, normalize, and structure. Our mapping links entities, securities, and identifiers across our content allowing our clients to integrate our data with their own. We also deliver our content in forms designed for machine consumption, including the metadata and symbology that allow AI agents and other automated systems to interpret and act on it. In addition, through our CUSIP Global Services ("CGS") business, operating on behalf of the American Bankers Association, we support security master files and serve as the exclusive issuer of Committee on Uniform Security Identification Procedures ("CUSIP") and CUSIP International Number System ("CINS") identifiers globally.</w:t>
      </w:r>
    </w:p>
    <w:p>
      <w:pPr>
        <w:pStyle w:val="TextBody"/>
        <w:bidi w:val="0"/>
        <w:spacing w:lineRule="auto" w:line="288" w:before="200" w:after="200"/>
        <w:jc w:val="both"/>
        <w:rPr>
          <w:rFonts w:ascii="Times New Roman;serif" w:hAnsi="Times New Roman;serif"/>
          <w:b/>
          <w:color w:val="000000"/>
          <w:sz w:val="20"/>
        </w:rPr>
      </w:pPr>
      <w:r>
        <w:rPr>
          <w:rFonts w:ascii="Times New Roman;serif" w:hAnsi="Times New Roman;serif"/>
          <w:b/>
          <w:color w:val="000000"/>
          <w:sz w:val="20"/>
        </w:rPr>
        <w:t>Business Strategy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strive to be a trusted enterprise partner and service provider to our clients across the financial services spectrum, delivering relevant intelligence, insights and execution solutions tailored to our clients’ business models.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To execute our strategy, we are focused on three core pillars and primary areas of investment:</w:t>
      </w:r>
    </w:p>
    <w:p>
      <w:pPr>
        <w:pStyle w:val="TextBody"/>
        <w:bidi w:val="0"/>
        <w:spacing w:lineRule="auto" w:line="288" w:before="200" w:after="200"/>
        <w:ind w:left="0" w:right="0" w:hanging="360"/>
        <w:jc w:val="both"/>
        <w:rPr/>
      </w:pPr>
      <w:r>
        <w:rPr>
          <w:color w:val="000000"/>
        </w:rPr>
        <w:t>•</w:t>
      </w:r>
      <w:r>
        <w:rPr>
          <w:rFonts w:ascii="Times New Roman;serif" w:hAnsi="Times New Roman;serif"/>
          <w:b/>
          <w:color w:val="000000"/>
          <w:sz w:val="20"/>
        </w:rPr>
        <w:t xml:space="preserve">Expanding our data and analytics offerings and delivery capabilities: </w:t>
      </w:r>
      <w:r>
        <w:rPr>
          <w:rFonts w:ascii="Times New Roman;serif" w:hAnsi="Times New Roman;serif"/>
          <w:b w:val="false"/>
          <w:color w:val="000000"/>
          <w:sz w:val="20"/>
        </w:rPr>
        <w:t xml:space="preserve">We continue to expand our data and analytics to provide a comprehensive corpus of industry, proprietary, contributed, and third-party data and models. This includes granular data for key industry verticals, real-time market data, fund data and frontier unstructured data. In addition to using our growing data catalog to drive our AI-powered workstation products, we aim to continue to expand our delivery capabilities in the cloud and through other methods, including MCP, to advance our position as a leading enterprise data provider for our clients in the AI age. We aim to be a single, authoritative source by collecting, mapping, normalizing, and structuring data into formats that both professionals and AI systems can rely on. </w:t>
      </w:r>
    </w:p>
    <w:p>
      <w:pPr>
        <w:pStyle w:val="TextBody"/>
        <w:bidi w:val="0"/>
        <w:spacing w:lineRule="auto" w:line="288" w:before="200" w:after="200"/>
        <w:ind w:left="0" w:right="0" w:hanging="360"/>
        <w:jc w:val="both"/>
        <w:rPr/>
      </w:pPr>
      <w:r>
        <w:rPr>
          <w:color w:val="000000"/>
        </w:rPr>
        <w:t>•</w:t>
      </w:r>
      <w:r>
        <w:rPr>
          <w:rFonts w:ascii="Times New Roman;serif" w:hAnsi="Times New Roman;serif"/>
          <w:b/>
          <w:color w:val="000000"/>
          <w:sz w:val="20"/>
        </w:rPr>
        <w:t xml:space="preserve">Transforming client workflows with AI: </w:t>
      </w:r>
      <w:r>
        <w:rPr>
          <w:rFonts w:ascii="Times New Roman;serif" w:hAnsi="Times New Roman;serif"/>
          <w:b w:val="false"/>
          <w:color w:val="000000"/>
          <w:sz w:val="20"/>
        </w:rPr>
        <w:t xml:space="preserve">Through continued innovation, we aim to help our clients re-design their core workflows with AI. This includes fundamentally re-imagining our core workstation product and building agentic solutions with specialized domain knowledge across our firm types, including investment research, performance reporting, financial modeling, pitch creation, meeting preparation, advisory client engagement, and more. We are developing the platform for clients to build, register, entitle, audit, and manage AI agents, whether developed by us, our clients, or third parties, and to intelligently route work between deterministic systems and large language model systems to optimize quality. </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Enhancing our commercial capabilities for the AI age:</w:t>
      </w:r>
      <w:r>
        <w:rPr>
          <w:color w:val="000000"/>
        </w:rPr>
        <w:t xml:space="preserve"> </w:t>
      </w:r>
      <w:r>
        <w:rPr>
          <w:rFonts w:ascii="Times New Roman;serif" w:hAnsi="Times New Roman;serif"/>
          <w:b w:val="false"/>
          <w:color w:val="000000"/>
          <w:sz w:val="20"/>
        </w:rPr>
        <w:t xml:space="preserve">We are building a suite of AI products with a focus on trusted, high-quality data, secure integration with models and workflows, and deep domain expertise. To deploy these new solutions and capture value, we are upgrading our commercial and go-to-market capabilities, including by actively moving client contracts to longer duration enterprise platform agreements that combine subscription-based minimums with consumption-based pricing components.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Revenues and Annual Subscription Value ("ASV")</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derive most of our revenues by delivering client access to our multi-asset class data and solutions powered by our platform of connected data and technology that is available over the contractual term (referred to as the "Hosted Platform"). The Hosted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Platform is a subscription-based service that provides client access to various combinations of products and services including workstations, portfolio analytics, enterprise data solutions, AI agents, and agentic workflow solutions.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believe ASV reflects our ability to grow recurring revenues and generate positive cash flows, and thus serves as a key indicator of the successful execution of our business strategy. ASV at any point in time represents our forward-looking revenues for the next 12 months from all recurring services currently being supplied to clients. Organic ASV at any point in time equals our ASV excluding ASV from acquisitions and the comparable impact of dispositions and discontinued lines of business, effected within the last 12 months, and the impact of foreign currency movements.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FactSet Clients and Users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had 9,258 clients and 260,671 professionals using FactSet as of August 31, 2026. Our client count includes clients with ASV of $10,000 and above. For the year ended August 31, 2026, annual ASV retention was greater than 95% and, when expressed as a percentage of clients, annual retention was 90%.</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Third-Party Content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collect and aggregate content from third-party data suppliers, news sources, exchanges, brokers and contributors into our own dedicated managed databases, which our clients access through our flexible delivery platforms. We seek to maintain contractual relationships with a minimum of two content providers for each major type of financial data, though certain data sets on which we rely have a limited number of suppliers. We make every effort to assure that, where reasonable, alternative sources are available. We have entered into third-party content agreements of varying lengths, which in some cases can be terminated with one year’s notice, at predefined dates, and in other cases on shorter notice. We are not dependent on any one third-party content supplier to meet the needs of our clients. Two suppliers each represented more than 10% of our total third-party content costs during fiscal 2026.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Data Centers and Cloud Computing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business is dependent on our ability to process substantial volumes of data and transactions rapidly and efficiently on our networks and systems. Our global technology infrastructure supports our operations and is designed to facilitate reliable and efficient processing and delivery of data and analytics to our clients. As part of our hybrid cloud strategy, we operate two fully redundant, physically separated data centers in the U.S. that provide client services, while also using market-leading cloud providers to run products and services to best benefit from the cloud's elasticity, resiliency, security, and regionalization. We currently use several cloud providers; however, one supplier provided the majority of our cloud computing support for fiscal 2026. Our physical data centers provide layers of redundancy to enhance system performance, including maintaining, processing and storing data at multiple locations. In the event of a single site failure or localized disaster, client workloads will automatically move to unaffected sites. We continue to focus on maintaining a global technology infrastructure that allows us to support our growing business.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have registered trademarks and copyrights for many of our products and services and will continue to evaluate the registration of additional trademarks and copyrights as appropriate. We enter into confidentiality agreements with our employees, clients, data suppliers and vendors. We strive to protect our workflow solutions, documentation and other written materials under trade secret, copyright and patent laws. While we do not believe we are dependent on any one of our intellectual property rights, we do rely on the combination of intellectual property rights and other measures to protect our proprietary rights. Despite these efforts, existing intellectual property laws may afford only limited protection.</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Research and Product Development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key aspect of our growth strategy is to offer new solutions and enhance our existing products by making them faster and more robust with deeper data and insights. We continue to invest in AI solutions that adapt as our clients’ workflows evolve, helping professionals leverage automation, generative intelligence and dynamic analytics, while rapidly embracing new technologies to improve discoverability and usability of our products and services.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The Competitive Landscape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a part of the financial information services industry focused on delivering expansive data, sophisticated analytics, and flexible technology through our open platform. We offer clients comprehensive solutions with a broad set of products delivered through a desktop or mobile user interface, AI-enabled chat and agentic solutions, cloud-based platforms, standardized or bespoke data feeds, and APIs. In addition, our applications, client support and service offerings are entrenched in the workflow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of many financial professionals given the data management, portfolio analysis and screening capabilities offered. We are entrusted with significant amounts of our clients' own proprietary data, including portfolio holdings. As a result, we believe our products are central to our clients’ analysis, decision-making and operations.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in a highly competitive environment. Our current competitive market is comprised of both large, well-capitalized companies and smaller, niche firms including market data suppliers, vertical AI solution providers, news and information providers, technology firms, and many third-party content providers that also supply us with financial information included in our products. The financial market data environment is competitive and includes many firms that provide products and services similar to our offerings, most notably Bloomberg L.P., S&amp;P, London Stock Exchange Group ("LSEG"), BlackRock, MSCI Inc., and Morningstar Inc., in addition to clients with in-house teams developing their own solutions.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Human Capital Management</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Our Employees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August 31, 2026, we had 33 offices in 19 countries with 12,444 employees, representing a decrease of 2.8% compared with August 31, 2025. Of our total employees, 8,652 (70%) were located in Asia Pacific, 2,373 (19%) in the Americas and 1,419 (11%) in EMEA. To support sustainable growth, we continue to invest in our global centers of excellence ("COEs"), primarily located in India and the Philippines, which accounted for approximately 68% of our employees.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Functionally, as of August 31, 2026, 45% of our employees were in Content Operations, 28% were in Technology and Product Development, 22% were in Sales and Client Solutions and 5% were in Corporate Support. As of August 31, 2026, 421 of our employees were represented by mandatory works councils in our French and German locations and 26 of our employees were represented by collective bargaining agreements in the U.S. </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Board Oversight &amp; Executive Management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Board of Directors and management team view our people as critical to our ability to execute our strategy. As a result, the Board of Directors and the Compensation and Talent Committee oversee and regularly engage with our Chief Executive Officer ("CEO"), Chief People &amp; Workforce Transformation Officer and other senior leaders on topics such as talent attraction, talent development, retention, succession planning, compensation and benefits, workplace culture, and employee engagement. At the management level, our Chief People &amp; Workforce Transformation Officer is responsible for leading the development and execution of the Company’s people and workforce management strategy with the support of the Company’s Executive Leadership Team.</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Compensation Program</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compensation program consists of a mix of annual salary; annual cash bonus for eligible employees, linked to Company and individual performance; and equity awards for eligible employees, designed to align their interests with our stockholders.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Well-being and Benefits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Employee wellbeing is a central component of FactSet’s people strategy. Our programs are designed to support physical, mental, and financial health while fostering a safe, inclusive, and resilient workplace. FactSet provides robust health benefits, as well as a range of wellness initiatives that support physical, emotional, social, and financial health. Policies and programs support work-life integration, including remote and hybrid work options, parental leave, and time-off programs tailored to employee needs. </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Retention and Engagement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To attract and retain the talent critical to deliver on our business objectives and create sustainable growth, we foster a culture that promotes employee engagement, satisfaction, and professional development. We conduct an annual confidential employee engagement survey to assess satisfaction, gather feedback, and identify opportunities for improvement. We also invest in our employees by providing a range of training and learning programs designed to help employees advance their knowledge, skills and experience, including mentorship, leadership development programs, department-specific training, and focused upskilling.</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Government Regulation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reporting requirements, disclosure obligations and other recordkeeping requirements of the Securities and Exchange Commission ("SEC") and the various local authorities that regulate each location in which we operate. Our P.A.N. Securities, LP subsidiary is a member of the Financial Industry Regulatory Authority, Inc. and is a registered broker-dealer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under Section 15 of the Exchange Act. P.A.N. Securities, LP, as a registered broker-dealer, is subject to Rule 15c3-1 under the Exchange Act, which requires that we maintain minimum net capital requirements. We claim exemption under Rule 15c3-3(k)(2)(i).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Corporate Contact Information</w:t>
      </w:r>
    </w:p>
    <w:p>
      <w:pPr>
        <w:pStyle w:val="TextBody"/>
        <w:bidi w:val="0"/>
        <w:spacing w:lineRule="auto" w:line="288" w:before="200" w:after="283"/>
        <w:jc w:val="both"/>
        <w:rPr/>
      </w:pPr>
      <w:r>
        <w:rPr>
          <w:rFonts w:ascii="Times New Roman;serif" w:hAnsi="Times New Roman;serif"/>
          <w:b w:val="false"/>
          <w:color w:val="000000"/>
          <w:sz w:val="20"/>
        </w:rPr>
        <w:t xml:space="preserve">FactSet was founded as a Delaware corporation in 1978, and our principal executive office is in </w:t>
      </w:r>
      <w:r>
        <w:rPr>
          <w:rFonts w:ascii="Times New Roman;serif" w:hAnsi="Times New Roman;serif"/>
          <w:b/>
          <w:color w:val="000000"/>
          <w:sz w:val="20"/>
        </w:rPr>
        <w:t>Norwalk</w:t>
      </w:r>
      <w:r>
        <w:rPr>
          <w:rFonts w:ascii="Times New Roman;serif" w:hAnsi="Times New Roman;serif"/>
          <w:b w:val="false"/>
          <w:color w:val="000000"/>
          <w:sz w:val="20"/>
        </w:rPr>
        <w:t xml:space="preserve">, </w:t>
      </w:r>
      <w:r>
        <w:rPr>
          <w:rFonts w:ascii="Times New Roman;serif" w:hAnsi="Times New Roman;serif"/>
          <w:b/>
          <w:color w:val="000000"/>
          <w:sz w:val="20"/>
        </w:rPr>
        <w:t>Connecticut</w:t>
      </w:r>
      <w:r>
        <w:rPr>
          <w:rFonts w:ascii="Times New Roman;serif" w:hAnsi="Times New Roman;serif"/>
          <w:b w:val="false"/>
          <w:color w:val="000000"/>
          <w:sz w:val="20"/>
        </w:rPr>
        <w: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Mailing address of FactSet's headquarters: 45 Glover Avenue, Norwalk, CT 06850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Telephone number: +1 (203) 810-1000</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Website address: www.factset.com</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Through the Investor Relations section of our website (https://investor.factset.com), we make available free of charge the following filings as soon as practicable after they are electronically filed with, or furnished to, the SEC: our Annual Report on Form 10-K, Quarterly Reports on Form 10-Q, Current Reports on Form 8-K, Proxy Statements for the annual stockholder meetings, Reports on Forms 3, 4 and 5, and any amendments to those reports filed or furnished pursuant to Section 13(a) or 15(d) of the Exchange Act. The SEC maintains a website that contains reports, proxy and information statements and other information that we file with the SEC at www.sec.gov.</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Additionally, we broadcast our quarterly earnings calls live via the investor relations section of our website. We also provide notifications of news or announcements regarding our financial performance, including investor events and press and earnings releases on our investor relations website. The contents of this website section are not intended to be incorporated by reference into this Annual Report on Form 10-K or in any other report or document we file with the SEC and any reference to this section of our website is intended to be inactive textual references only.</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Executive Officers of the Registrant</w:t>
      </w:r>
    </w:p>
    <w:p>
      <w:pPr>
        <w:pStyle w:val="TextBody"/>
        <w:bidi w:val="0"/>
        <w:spacing w:lineRule="auto" w:line="288" w:before="200" w:after="200"/>
        <w:jc w:val="left"/>
        <w:rPr>
          <w:rFonts w:ascii="Times New Roman;serif" w:hAnsi="Times New Roman;serif"/>
          <w:b w:val="false"/>
          <w:color w:val="000000"/>
          <w:sz w:val="20"/>
        </w:rPr>
      </w:pPr>
      <w:r>
        <w:rPr>
          <w:rFonts w:ascii="Times New Roman;serif" w:hAnsi="Times New Roman;serif"/>
          <w:b w:val="false"/>
          <w:color w:val="000000"/>
          <w:sz w:val="20"/>
        </w:rPr>
        <w:t>The following table shows our current executive officers:</w:t>
      </w:r>
    </w:p>
    <w:tbl>
      <w:tblPr>
        <w:tblW w:w="10205" w:type="dxa"/>
        <w:jc w:val="left"/>
        <w:tblInd w:w="0" w:type="dxa"/>
        <w:tblLayout w:type="fixed"/>
        <w:tblCellMar>
          <w:top w:w="28" w:type="dxa"/>
          <w:left w:w="28" w:type="dxa"/>
          <w:bottom w:w="28" w:type="dxa"/>
          <w:right w:w="28" w:type="dxa"/>
        </w:tblCellMar>
      </w:tblPr>
      <w:tblGrid>
        <w:gridCol w:w="781"/>
        <w:gridCol w:w="685"/>
        <w:gridCol w:w="690"/>
        <w:gridCol w:w="145"/>
        <w:gridCol w:w="145"/>
        <w:gridCol w:w="146"/>
        <w:gridCol w:w="2135"/>
        <w:gridCol w:w="2134"/>
        <w:gridCol w:w="2143"/>
        <w:gridCol w:w="349"/>
        <w:gridCol w:w="349"/>
        <w:gridCol w:w="503"/>
      </w:tblGrid>
      <w:tr>
        <w:trPr/>
        <w:tc>
          <w:tcPr>
            <w:tcW w:w="78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2134"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r>
      <w:tr>
        <w:trPr/>
        <w:tc>
          <w:tcPr>
            <w:tcW w:w="2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of Officer</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Age</w:t>
            </w:r>
          </w:p>
        </w:tc>
        <w:tc>
          <w:tcPr>
            <w:tcW w:w="64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Held with FactSet </w:t>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Officer Since</w:t>
            </w:r>
          </w:p>
        </w:tc>
      </w:tr>
      <w:tr>
        <w:trPr/>
        <w:tc>
          <w:tcPr>
            <w:tcW w:w="21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Sanoke Viswanathan</w:t>
            </w:r>
          </w:p>
        </w:tc>
        <w:tc>
          <w:tcPr>
            <w:tcW w:w="4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c>
          <w:tcPr>
            <w:tcW w:w="64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12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156" w:type="dxa"/>
            <w:gridSpan w:val="3"/>
            <w:tcBorders>
              <w:top w:val="single" w:sz="8" w:space="0" w:color="B6B6B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Joshua Warren</w:t>
            </w:r>
          </w:p>
        </w:tc>
        <w:tc>
          <w:tcPr>
            <w:tcW w:w="436" w:type="dxa"/>
            <w:gridSpan w:val="3"/>
            <w:tcBorders>
              <w:top w:val="single" w:sz="8" w:space="0" w:color="B6B6B6"/>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6412" w:type="dxa"/>
            <w:gridSpan w:val="3"/>
            <w:tcBorders>
              <w:top w:val="single" w:sz="8" w:space="0" w:color="B6B6B6"/>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w:t>
            </w:r>
          </w:p>
        </w:tc>
        <w:tc>
          <w:tcPr>
            <w:tcW w:w="1201" w:type="dxa"/>
            <w:gridSpan w:val="3"/>
            <w:tcBorders>
              <w:top w:val="single" w:sz="8" w:space="0" w:color="B6B6B6"/>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r>
      <w:tr>
        <w:trPr/>
        <w:tc>
          <w:tcPr>
            <w:tcW w:w="2156" w:type="dxa"/>
            <w:gridSpan w:val="3"/>
            <w:tcBorders>
              <w:top w:val="single" w:sz="8" w:space="0" w:color="B6B6B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McLoughlin</w:t>
            </w:r>
          </w:p>
        </w:tc>
        <w:tc>
          <w:tcPr>
            <w:tcW w:w="436" w:type="dxa"/>
            <w:gridSpan w:val="3"/>
            <w:tcBorders>
              <w:top w:val="single" w:sz="8" w:space="0" w:color="B6B6B6"/>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6412" w:type="dxa"/>
            <w:gridSpan w:val="3"/>
            <w:tcBorders>
              <w:top w:val="single" w:sz="8" w:space="0" w:color="B6B6B6"/>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Legal Officer and Corporate Secretary</w:t>
            </w:r>
          </w:p>
        </w:tc>
        <w:tc>
          <w:tcPr>
            <w:tcW w:w="1201" w:type="dxa"/>
            <w:gridSpan w:val="3"/>
            <w:tcBorders>
              <w:top w:val="single" w:sz="8" w:space="0" w:color="B6B6B6"/>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2156" w:type="dxa"/>
            <w:gridSpan w:val="3"/>
            <w:tcBorders>
              <w:top w:val="single" w:sz="8" w:space="0" w:color="B6B6B6"/>
              <w:bottom w:val="single" w:sz="8" w:space="0" w:color="B6B6B6"/>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 Hirji</w:t>
            </w:r>
          </w:p>
        </w:tc>
        <w:tc>
          <w:tcPr>
            <w:tcW w:w="436" w:type="dxa"/>
            <w:gridSpan w:val="3"/>
            <w:tcBorders>
              <w:top w:val="single" w:sz="8" w:space="0" w:color="B6B6B6"/>
              <w:bottom w:val="single" w:sz="8" w:space="0" w:color="B6B6B6"/>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w:t>
            </w:r>
          </w:p>
        </w:tc>
        <w:tc>
          <w:tcPr>
            <w:tcW w:w="6412" w:type="dxa"/>
            <w:gridSpan w:val="3"/>
            <w:tcBorders>
              <w:top w:val="single" w:sz="8" w:space="0" w:color="B6B6B6"/>
              <w:bottom w:val="single" w:sz="8" w:space="0" w:color="B6B6B6"/>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People and Workforce Transformation Officer</w:t>
            </w:r>
          </w:p>
        </w:tc>
        <w:tc>
          <w:tcPr>
            <w:tcW w:w="1201" w:type="dxa"/>
            <w:gridSpan w:val="3"/>
            <w:tcBorders>
              <w:top w:val="single" w:sz="8" w:space="0" w:color="B6B6B6"/>
              <w:bottom w:val="single" w:sz="8" w:space="0" w:color="B6B6B6"/>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r>
    </w:tbl>
    <w:p>
      <w:pPr>
        <w:pStyle w:val="TextBody"/>
        <w:bidi w:val="0"/>
        <w:spacing w:lineRule="auto" w:line="288" w:before="200" w:after="283"/>
        <w:jc w:val="both"/>
        <w:rPr/>
      </w:pPr>
      <w:r>
        <w:rPr>
          <w:rFonts w:ascii="Times New Roman;serif" w:hAnsi="Times New Roman;serif"/>
          <w:b/>
          <w:i/>
          <w:color w:val="000000"/>
          <w:sz w:val="20"/>
        </w:rPr>
        <w:t>Sanoke Viswanathan</w:t>
      </w:r>
      <w:r>
        <w:rPr>
          <w:color w:val="000000"/>
        </w:rPr>
        <w:t xml:space="preserve"> – </w:t>
      </w:r>
      <w:r>
        <w:rPr>
          <w:rFonts w:ascii="Times New Roman;serif" w:hAnsi="Times New Roman;serif"/>
          <w:b/>
          <w:i/>
          <w:color w:val="000000"/>
          <w:sz w:val="20"/>
        </w:rPr>
        <w:t>Chief Executive Officer</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Mr. Viswanathan was appointed Chief Executive Officer effective September 8, 2025. Mr. Viswanathan has held a range of leadership roles, most recently served as the Chief Executive Officer of International Consumer and Wealth of JPMorgan and as a member of JPMorgan’s Operating Committee where he oversaw international consumer businesses as well as the International Private Bank and Workplace Solutions. Prior to that, Mr. Viswanathan served as JPMorgan’s Chief Strategy and Growth Officer from 2022 to 2024 and Chief Administrative Officer of the Corporate and Investment Bank. Earlier in his career, he was a Managing Director and Head of Corporate Strategy for JPMorgan and a Partner and Co-Head of Global Corporate and Investment Banking for McKinsey &amp; Company. Mr. Viswanathan holds a post-graduate diploma in management from the Indian Institute of Management, Ahmedabad, and a bachelors in Mechanical Engineering from the Indian Institute of Technology, Chennai.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pPr>
      <w:r>
        <w:rPr>
          <w:rFonts w:ascii="Times New Roman;serif" w:hAnsi="Times New Roman;serif"/>
          <w:b/>
          <w:i/>
          <w:color w:val="000000"/>
          <w:sz w:val="20"/>
        </w:rPr>
        <w:t>Joshua Warren –</w:t>
      </w:r>
      <w:r>
        <w:rPr>
          <w:color w:val="000000"/>
        </w:rPr>
        <w:t xml:space="preserve"> </w:t>
      </w:r>
      <w:r>
        <w:rPr>
          <w:rFonts w:ascii="Times New Roman;serif" w:hAnsi="Times New Roman;serif"/>
          <w:b/>
          <w:i/>
          <w:color w:val="000000"/>
          <w:sz w:val="20"/>
        </w:rPr>
        <w:t>Executive Vice President, Chief Financial Officer.</w:t>
      </w:r>
      <w:r>
        <w:rPr>
          <w:color w:val="000000"/>
        </w:rPr>
        <w:t xml:space="preserve"> </w:t>
      </w:r>
      <w:r>
        <w:rPr>
          <w:rFonts w:ascii="Times New Roman;serif" w:hAnsi="Times New Roman;serif"/>
          <w:b w:val="false"/>
          <w:color w:val="000000"/>
          <w:sz w:val="20"/>
        </w:rPr>
        <w:t>Mr. Warren was appointed Chief Financial Officer effective April 13, 2026. As the Chief Financial Officer, he is responsible for FactSet's global finance organization and oversees all financial functions, including accounting, corporate development, financial planning and analysis, investor relations, real estate, tax, and treasury. Mr. Warren served as the Chief Financial Officer of Envestnet, Inc. from 2023 to 2025. Previously, he served as the Managing Director and Global Head of Business Strategy for iShares and Index Investments for BlackRock, Inc. ("BlackRock") from 2021 to 2023, and prior to that, he was the Managing Director in BlackRock's Corporate Strategy and Development team. Mr. Warren also held roles at Barclays Capital Inc.; Foros Group; the United States Department of the Treasury; and Skadden, Arps, Slate, Meagher &amp; Flom LLP. Mr. Warren holds a Juris Doctor from the New York University School of Law and Bachelor of Arts in Philosophy and History from Dartmouth College.</w:t>
      </w:r>
    </w:p>
    <w:p>
      <w:pPr>
        <w:pStyle w:val="TextBody"/>
        <w:bidi w:val="0"/>
        <w:spacing w:lineRule="auto" w:line="288" w:before="200" w:after="283"/>
        <w:jc w:val="both"/>
        <w:rPr/>
      </w:pPr>
      <w:r>
        <w:rPr>
          <w:rFonts w:ascii="Times New Roman;serif" w:hAnsi="Times New Roman;serif"/>
          <w:b/>
          <w:i/>
          <w:color w:val="000000"/>
          <w:sz w:val="20"/>
        </w:rPr>
        <w:t>Christopher McLoughlin - Executive Vice President, Chief Legal Officer and Corporate Secretary.</w:t>
      </w:r>
      <w:r>
        <w:rPr>
          <w:color w:val="000000"/>
        </w:rPr>
        <w:t xml:space="preserve"> </w:t>
      </w:r>
      <w:r>
        <w:rPr>
          <w:rFonts w:ascii="Times New Roman;serif" w:hAnsi="Times New Roman;serif"/>
          <w:b w:val="false"/>
          <w:color w:val="000000"/>
          <w:sz w:val="20"/>
        </w:rPr>
        <w:t>Mr. McLoughlin was appointed Executive Vice President, Chief Legal Officer effective December 2, 2024. In this role, he oversees the global legal, compliance, and risk functions for the Company, together with government and regulatory affairs. Previously, Mr. McLoughlin served as the General Counsel of S&amp;P Global Market Intelligence, where he led a global team providing legal and compliance support to the entire division and served as a member of the S&amp;P Global Market Intelligence Operating Committee. Prior to that, he was Deputy General Counsel and Company Secretary of IHS Markit Ltd. He has also worked at various international law firms on a range of corporate, transactional, and advisory matters. Mr. McLoughlin has earned a legal degree LLB (Hons), from the University of Manchester and attended Nottingham Law School.</w:t>
      </w:r>
    </w:p>
    <w:p>
      <w:pPr>
        <w:pStyle w:val="TextBody"/>
        <w:bidi w:val="0"/>
        <w:spacing w:lineRule="auto" w:line="288" w:before="200" w:after="283"/>
        <w:jc w:val="both"/>
        <w:rPr/>
      </w:pPr>
      <w:r>
        <w:rPr>
          <w:rFonts w:ascii="Times New Roman;serif" w:hAnsi="Times New Roman;serif"/>
          <w:b/>
          <w:i/>
          <w:color w:val="000000"/>
          <w:sz w:val="20"/>
        </w:rPr>
        <w:t>Di Hirji - Executive Vice President, Chief People and Workforce Transformation Officer.</w:t>
      </w:r>
      <w:r>
        <w:rPr>
          <w:color w:val="000000"/>
        </w:rPr>
        <w:t xml:space="preserve"> </w:t>
      </w:r>
      <w:r>
        <w:rPr>
          <w:rFonts w:ascii="Times New Roman;serif" w:hAnsi="Times New Roman;serif"/>
          <w:b w:val="false"/>
          <w:color w:val="000000"/>
          <w:sz w:val="20"/>
        </w:rPr>
        <w:t>Ms. Hirji was appointed Chief People &amp; Workforce Transformation Officer effective August 3, 2026. As Chief People &amp; Workforce Transformation Officer, she is responsible for all aspects of FactSet’s people strategy and operations. Ms. Hirji served as Chief People Officer for S&amp;P Global Market Intelligence, the largest division of S&amp;P Global from 2019 to 2022 and then expanded her remit to lead the people function for Dow Jones Indices from 2022 to 2024. Prior to that, Ms. Hirji also held various human resources ("HR") senior leadership positions at Thomson Reuters including Global Head of HR Strategy and Vice President of HR. In her early career, she also spent 8 years in management consulting at Accenture. Ms. Hirji holds a degree in Psychology and a Master's degree in Human Resource Management from Warwick Business School.</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Additional Information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Additional information with respect to our business is included in the following pages and is incorporated herein by reference:</w:t>
      </w:r>
    </w:p>
    <w:tbl>
      <w:tblPr>
        <w:tblW w:w="8113" w:type="dxa"/>
        <w:jc w:val="left"/>
        <w:tblInd w:w="0" w:type="dxa"/>
        <w:tblLayout w:type="fixed"/>
        <w:tblCellMar>
          <w:top w:w="28" w:type="dxa"/>
          <w:left w:w="28" w:type="dxa"/>
          <w:bottom w:w="28" w:type="dxa"/>
          <w:right w:w="28" w:type="dxa"/>
        </w:tblCellMar>
      </w:tblPr>
      <w:tblGrid>
        <w:gridCol w:w="2670"/>
        <w:gridCol w:w="2352"/>
        <w:gridCol w:w="2357"/>
        <w:gridCol w:w="215"/>
        <w:gridCol w:w="215"/>
        <w:gridCol w:w="304"/>
      </w:tblGrid>
      <w:tr>
        <w:trPr/>
        <w:tc>
          <w:tcPr>
            <w:tcW w:w="2670" w:type="dxa"/>
            <w:tcBorders/>
            <w:vAlign w:val="center"/>
          </w:tcPr>
          <w:p>
            <w:pPr>
              <w:pStyle w:val="TableContents"/>
              <w:bidi w:val="0"/>
              <w:spacing w:before="0" w:after="283"/>
              <w:jc w:val="left"/>
              <w:rPr>
                <w:sz w:val="4"/>
                <w:szCs w:val="4"/>
              </w:rPr>
            </w:pPr>
            <w:r>
              <w:rPr>
                <w:sz w:val="4"/>
                <w:szCs w:val="4"/>
              </w:rPr>
            </w:r>
          </w:p>
        </w:tc>
        <w:tc>
          <w:tcPr>
            <w:tcW w:w="2352"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7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Page(s)</w:t>
            </w:r>
          </w:p>
        </w:tc>
      </w:tr>
      <w:tr>
        <w:trPr/>
        <w:tc>
          <w:tcPr>
            <w:tcW w:w="73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hyperlink w:anchor="id93253b6c6d743009d916199362386a6_43">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7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hyperlink w:anchor="id93253b6c6d743009d916199362386a6_43">
              <w:r>
                <w:rPr>
                  <w:rStyle w:val="InternetLink"/>
                  <w:rFonts w:ascii="Times New Roman;serif" w:hAnsi="Times New Roman;serif"/>
                  <w:b w:val="false"/>
                  <w:color w:val="0000FF"/>
                  <w:sz w:val="20"/>
                  <w:u w:val="single"/>
                </w:rPr>
                <w:t>28</w:t>
              </w:r>
            </w:hyperlink>
          </w:p>
        </w:tc>
      </w:tr>
      <w:tr>
        <w:trPr/>
        <w:tc>
          <w:tcPr>
            <w:tcW w:w="7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76">
              <w:r>
                <w:rPr>
                  <w:rStyle w:val="InternetLink"/>
                  <w:rFonts w:ascii="Times New Roman;serif" w:hAnsi="Times New Roman;serif"/>
                  <w:b w:val="false"/>
                  <w:color w:val="0000FF"/>
                  <w:sz w:val="20"/>
                  <w:u w:val="single"/>
                </w:rPr>
                <w:t>Quantitative and Qualitative Disclosures about Market Risk</w:t>
              </w:r>
            </w:hyperlink>
          </w:p>
        </w:tc>
        <w:tc>
          <w:tcPr>
            <w:tcW w:w="7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76">
              <w:r>
                <w:rPr>
                  <w:rStyle w:val="InternetLink"/>
                  <w:rFonts w:ascii="Times New Roman;serif" w:hAnsi="Times New Roman;serif"/>
                  <w:b w:val="false"/>
                  <w:color w:val="0000FF"/>
                  <w:sz w:val="20"/>
                  <w:u w:val="single"/>
                </w:rPr>
                <w:t>44</w:t>
              </w:r>
            </w:hyperlink>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106">
              <w:r>
                <w:rPr>
                  <w:rStyle w:val="InternetLink"/>
                  <w:rFonts w:ascii="Times New Roman;serif" w:hAnsi="Times New Roman;serif"/>
                  <w:b w:val="false"/>
                  <w:color w:val="0000FF"/>
                  <w:sz w:val="20"/>
                  <w:u w:val="single"/>
                </w:rPr>
                <w:t>Notes to the Consolidated Financial Statements</w:t>
              </w:r>
            </w:hyperlink>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106">
              <w:r>
                <w:rPr>
                  <w:rStyle w:val="InternetLink"/>
                  <w:rFonts w:ascii="Times New Roman;serif" w:hAnsi="Times New Roman;serif"/>
                  <w:b w:val="false"/>
                  <w:color w:val="0000FF"/>
                  <w:sz w:val="20"/>
                  <w:u w:val="single"/>
                </w:rPr>
                <w:t>57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color w:val="000000"/>
          <w:sz w:val="24"/>
        </w:rPr>
      </w:pPr>
      <w:r>
        <w:rPr>
          <w:rFonts w:ascii="Times New Roman;serif" w:hAnsi="Times New Roman;serif"/>
          <w:b/>
          <w:color w:val="000000"/>
          <w:sz w:val="24"/>
        </w:rPr>
        <w:t>ITEM 1A. RISK FACTORS</w:t>
      </w:r>
    </w:p>
    <w:p>
      <w:pPr>
        <w:pStyle w:val="TextBody"/>
        <w:bidi w:val="0"/>
        <w:spacing w:lineRule="auto" w:line="288" w:before="200" w:after="283"/>
        <w:jc w:val="both"/>
        <w:rPr/>
      </w:pPr>
      <w:r>
        <w:rPr>
          <w:rFonts w:ascii="Times New Roman;serif" w:hAnsi="Times New Roman;serif"/>
          <w:b w:val="false"/>
          <w:color w:val="000000"/>
          <w:sz w:val="20"/>
        </w:rPr>
        <w:t xml:space="preserve">The following risks could materially and adversely affect our business, financial condition, results of operations, and cash flows and, as a result, the trading price of our common stock could decline. These risk factors do not identify all risks that we face; our operations could also be affected by factors that are not presently known to us or that we currently consider to be immaterial to our operations. Due to risks and uncertainties, known and unknown, our past financial results may not be a reliable indicator of future performance, and historical trends should not be used to anticipate results or trends in future periods. Investors should also refer to the other information set forth in this Annual Report on Form 10-K, including Item 7. </w:t>
      </w:r>
      <w:r>
        <w:rPr>
          <w:rFonts w:ascii="Times New Roman;serif" w:hAnsi="Times New Roman;serif"/>
          <w:b w:val="false"/>
          <w:i/>
          <w:color w:val="000000"/>
          <w:sz w:val="20"/>
        </w:rPr>
        <w:t>Management’s Discussion and Analysis of Financial Condition and Results of Operation</w:t>
      </w:r>
      <w:r>
        <w:rPr>
          <w:rFonts w:ascii="Times New Roman;serif" w:hAnsi="Times New Roman;serif"/>
          <w:b w:val="false"/>
          <w:color w:val="000000"/>
          <w:sz w:val="20"/>
        </w:rPr>
        <w:t>s and our Consolidated Financial Statements including the related Notes. Investors should carefully consider all risks, including those disclosed here, before making an investment decision.</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Cybersecurity, Technology and Data Security Risks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Unauthorized access to confidential data including client data, other cyber-attacks, and the failure of our cybersecurity systems and procedures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Many of our products, as well as our internal systems and processes, involve the collection, retrieval, processing, storage and transmission of our own, as well as supplier and client, proprietary information and sensitive or confidential data through a variety of media channels. We rely on, and continuously invest in, internal processes, controls, policies, procedures and employee training programs designed to protect confidential data received in the ordinary course of business, including information from client portfolios and strategies. However, these measures do not guarantee security, and improper access to or release of confidential information may still occur—whether due to employee error or malfeasance, system error, inadvertent release, failure to properly purge or protect data, or through cyber-attacks.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size, scale and role in the financial markets increase our exposure to cyber-attacks and other cybersecurity risks. We and the third-party service providers we rely on for certain critical functions are subject to system failures, security breaches and cyber-attacks - including those sponsored by nation-states, terrorist organizations, or others seeking to illicitly obtain technology or intellectual property - as well as to fraud or malice by employees or vendors, human error, software or hardware failures, and the risks associated with our use of mobile and cloud technologies. These threats take many forms, including the use of generative and agentic AI, phishing, hacking, viruses, denial of service attacks, tampering, intrusions, physical break-ins, ransomware and malware.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Cyber-attacks continue to evolve in sophistication, frequency and volume, including as threat actors exploit generative and agentic AI to discover and exploit vulnerabilities at unprecedented speed and scale, and may be difficult to detect for long periods of time. Our protective measures, and those of the third parties to which we are connected, may not be effective, and a failure by our clients or third-party providers to notify us of an incident in a timely manner could delay our response and increase the resulting harm. As a result, we may not be able to anticipate, prevent or detect all attacks, and we are exposed to heightened risks of cyber-attacks or other security incidents. In addition, future advances in computing, including quantum computing, could weaken or render obsolete the encryption and other security measures on which we and our third parties rely, including through the potential future decryption of data captured today.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also make acquisitions periodically, and we may inherit cybersecurity risks when these acquisitions are integrated into our infrastructure. Although we conduct due diligence during acquisition processes, acquired businesses may not have invested as heavily in security measures and technology, and this may introduce additional security risk.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make a range of commitments to our clients regarding our security practices and posture, and if we do not adequately implement and enforce them, we could be in violation of those commitments. Cyberattacks, security breaches or third-party reports of perceived vulnerability, even if no breach has occurred, could damage our brand and reputation, result in litigation, regulatory actions, loss of client confidence and increased legal liability. While we maintain insurance intended to address certain cybersecurity and data protection risks, it may not cover all or the majority of the costs, losses or types of claims. We maintain, and continue to invest in, a cybersecurity program designed to identify, prioritize and mitigate these risks, including a multi-year strategy to further enhance our security posture, controls and resiliency and to remediate control gaps as they are identified. As threats continue to evolve, we must devote additional resources to modify and enhance our systems and processes, including patch and vulnerability management, and these efforts may not be completed on the timeframe we anticipate, may require significant additional investment, and may not be sufficient to prevent or mitigate every cyberattack or security incident.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A prolonged or recurring outage and other business continuity disruptions could result in a reduced or total loss of service; the loss of clients and adverse impact on our reputation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clients rely on us for the delivery of time-sensitive, accurate, complete and up-to-date data and applications. Our business is dependent on our ability to process substantial volumes of data and transactions rapidly and efficiently on our computer-based networks, database storage facilities, and other network infrastructure, which are located across multiple facilities globally. If we experience significant growth of our client base, increases in the number of products or services we offer, or increases in the speed at which we are required to provide products and services, it may strain our systems. Additionally, our systems and networks may become strained due to aging or end-of-life technology that we have not yet updated or replaced.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computer operations, as well as our other business centers, and those of our suppliers and clients, may be vulnerable to interruption by fire, natural disaster, public health crisis (e.g., pandemics), extreme weather or climate conditions, power loss, telecommunication failures, terrorist attacks, acts of war or civil unrest, internet failures, computer viruses, security breaches, employee or systems errors, and other events beyond our reasonable control. In addition, in remote work environments, the daily activities and productivity of our workforce are now more closely tied to key vendors consistently delivering their services without material disruption. Our ability to deliver information using the internet and to operate in a remote working environment may be impaired because of infrastructure failures, service outages at third-party internet providers, malicious attacks, or other factors.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currently use multiple providers of cloud services; however, one supplier provides the majority of our cloud computing support. We have limited control over its performance, and a disruption or loss of service from this provider could impair our system's operation and our ability to operate for a period of time.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maintain back-up facilities and certain other redundancies for each of our data centers to minimize the risk that any event will disrupt those operations, but if we were to suffer such an event it may mean we are unable to provide our service for a prolonged period of time, and our IT disaster recovery processes may not be adequate. In addition, changes we make to our systems, software, infrastructure and processes, including new releases, updates, migrations and configuration changes, could introduce errors, defects or instability that degrade or interrupt our services, and our change-management and testing practices may not identify or prevent such issues before they affect clients. From time to time we have experienced outages across certain of our products and service providers, and we may still experience outages or other disruptions in the future, and such outages or disruptions may have a material adverse effect on the Company.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are currently implementing, and making progress on, a multi-year project to enhance our information technology disaster recovery processes with modernized tooling and automation to maximize resiliency and minimize recovery time in the event of a service disruption or outage. However, a loss of our services involving our significant facilities may materially disrupt our business and may induce our clients to seek alternative data suppliers. Any such losses or damages we incur could have a material adverse effect on our business. Although we seek to minimize these risks through security measures, controls, back-up data centers, emergency planning and disaster recovery processes, there can be no assurance that such efforts will be successful or effective. Additionally, we may face significant increases in our use of power and data storage and may experience a shortage of capacity and increased costs associated with such usage.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be unable to secure data center capacity, power and computing resources on acceptable terms to meet our future needs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business, and in particular our growth and our increasing use of AI, depends on access to data center capacity, power and computing resources, including specialized hardware, whether provided through our own facilities or, increasingly, through third-party cloud and data center providers. Demand for these resources has grown rapidly across the industry, driven in significant part by AI, and has contributed to constrained availability and rising costs. As our needs increase, we may be unable to procure sufficient capacity, power or computing resources when needed, in the locations we require, or on commercially acceptable terms, and we may face increased costs, delays in deploying new products and capabilities, or constraints on our ability to scale. Any of the foregoing could adversely affect our operations, margins and our ability to execute our strategy, and could have a material adverse effect on our business, financial condition or results of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Transition to new and emerging technologies, applications and processes could expose us to unanticipated disruptions or impacts</w:t>
      </w:r>
    </w:p>
    <w:p>
      <w:pPr>
        <w:pStyle w:val="TextBody"/>
        <w:bidi w:val="0"/>
        <w:spacing w:lineRule="auto" w:line="288" w:before="200" w:after="283"/>
        <w:jc w:val="both"/>
        <w:rPr/>
      </w:pPr>
      <w:r>
        <w:rPr>
          <w:rFonts w:ascii="Times New Roman;serif" w:hAnsi="Times New Roman;serif"/>
          <w:b w:val="false"/>
          <w:color w:val="000000"/>
          <w:sz w:val="20"/>
        </w:rPr>
        <w:t>The technology landscape is constantly evolving. To remain competitive, we must invest, adapt and migrate to new and emerging technologies, applications and processes, including the evolving use of AI technology and agentic AI (see "</w:t>
      </w:r>
      <w:r>
        <w:rPr>
          <w:rFonts w:ascii="Times New Roman;serif" w:hAnsi="Times New Roman;serif"/>
          <w:b w:val="false"/>
          <w:i/>
          <w:color w:val="000000"/>
          <w:sz w:val="20"/>
        </w:rPr>
        <w:t>Our use of AI technologies may not be successful and may present business, compliance, and reputational risks</w:t>
      </w:r>
      <w:r>
        <w:rPr>
          <w:rFonts w:ascii="Times New Roman;serif" w:hAnsi="Times New Roman;serif"/>
          <w:b w:val="false"/>
          <w:color w:val="000000"/>
          <w:sz w:val="20"/>
        </w:rPr>
        <w:t xml:space="preserve">" below for further discussion). Use of more advanced technologies and infrastructure is critical to the development of our products and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scaling of our business for future growth, and the accurate maintenance of our data and operations. The implementation of new and emerging technologies and infrastructure, such as migration to new cloud-based systems and increased utilization of AI internally and in our products and services, is complex and can involve substantial expenditures, as well as, risks inherent in the conversion to any new system, including potential loss of information and disruption to operations and compliance issues.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Use of open source software could introduce security vulnerabilities, impose unanticipated restrictions on our ability to commercialize our products and services, and subject us to increased costs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use open source code in our software development and incorporate it into our products and internal systems. The use of open source code may entail greater risks than the use of third-party commercial software. Open source licensors generally do not provide warranties or other contractual protections regarding infringement claims or the quality or security of the code. Some open source licenses provide that if we combine our proprietary applications with the open source software in a certain manner, we could be required to release the source code of our proprietary applications to the public. This would allow our competitors to create similar products with less development effort and time and ultimately put us at a competitive disadvantage. We have implemented procedures to control the use of open source code so as to mitigate this risk; however, the terms of many open source licenses are also ambiguous and have not been interpreted by U.S. or other courts. Therefore, there is a risk that our internal procedures controlling the use of open source code could fail, or that the licenses could be construed in a manner that imposes unanticipated conditions or restrictions on us. If any of this were to occur, we could be required to seek alternative third-party licenses at increased costs or reduced scope, to re-engineer products or systems, or potentially to discontinue the licensing of certain products. Any remedial actions could divert resources away from our development efforts, be time intensive and have a significant cost.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Our use of AI technologies may not be successful and may present business, compliance, and reputational risks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use, and are expanding our use of, machine learning and AI technologies in our products and processes. If we fail to keep pace with rapidly evolving AI technological developments, or fail to launch products that are competitive, our competitive position and business results may be negatively impacted. If our competitors or other third parties incorporate AI technologies, such as emerging generative and agentic AI, into their products and processes more quickly or more successfully than us, this could impair our ability to compete effectively. Our use of AI technologies, including generative and agentic AI, requires resources to develop, test and maintain such products, which is costly. Despite our investments in, and commitment of resources to, the development of AI products and technologies, we may not be successful in generating revenues from these efforts. In addition, third parties may be able to use AI to create technology that could reduce demand for our products and services. Even where our AI-enabled products and services are adopted, we may be unable to monetize them profitably. The cost of developing, delivering and operating AI capabilities — including model licensing, inference and compute costs and the consumption of AI tokens — can be significant and variable, and has increased as we expand our use of AI. Our historical pricing has been based substantially on subscription and user-based models, and our efforts to introduce consumption-, usage- or outcome-based pricing that better aligns the price of our AI-enabled offerings with their underlying cost and value may not succeed or may not be accepted by clients. If client adoption or usage of our AI features exceeds our expectations, or if we are unable to accurately forecast usage, price our offerings appropriately, or pass through the associated costs, our AI-related costs may exceed the revenues these offerings generate, and increased usage could adversely affect our margins. Conversely, if adoption develops more slowly than anticipated, we may be unable to recover our AI investments within the timeframe we expect, or at all. Any of the foregoing could adversely affect our profitability, margins and results of operations.</w:t>
      </w:r>
    </w:p>
    <w:p>
      <w:pPr>
        <w:pStyle w:val="TextBody"/>
        <w:bidi w:val="0"/>
        <w:spacing w:lineRule="auto" w:line="288" w:before="200" w:after="283"/>
        <w:jc w:val="both"/>
        <w:rPr/>
      </w:pPr>
      <w:r>
        <w:rPr>
          <w:rFonts w:ascii="Times New Roman;serif" w:hAnsi="Times New Roman;serif"/>
          <w:b w:val="false"/>
          <w:color w:val="000000"/>
          <w:sz w:val="20"/>
        </w:rPr>
        <w:t>The introduction of AI technologies, particularly generative and agentic AI, into new or existing offerings may result in new or expanded risks and liabilities, due to enhanced governmental or regulatory scrutiny, litigation, compliance issues, ethical concerns, negative client perceptions, confidentiality, data privacy or security risks, as well as other factors that could adversely affect our business, reputation, and financial results. For example, AI technologies can lead to unintended consequences and errors, including generating content that appears correct but is factually inaccurate, misleading or otherwise flawed, or that results in unintended biases and discriminatory outcomes, which could harm our reputation and expose us to liability. If the content, analyses, or recommendations that AI applications assist in producing are, or are alleged to be, deficient, inaccurate, unreliable, misleading, biased, discriminatory or otherwise flawed, any of which may not be easily detectable, our business and reputation may be adversely affected. Use of AI technologies, and the evolving legal, regulatory and compliance framework for AI, could impact our ability to protect our data and intellectual property, as well as vendor and client information, and could expose us to intellectual property or other claims by third parties. Use of AI technologies may also increase risks related to cyberattacks or other security incidents or result in a failure to protect confidential information (see “</w:t>
      </w:r>
      <w:r>
        <w:rPr>
          <w:rFonts w:ascii="Times New Roman;serif" w:hAnsi="Times New Roman;serif"/>
          <w:b w:val="false"/>
          <w:i/>
          <w:color w:val="000000"/>
          <w:sz w:val="20"/>
        </w:rPr>
        <w:t>Unauthorized access to confidential data including client data, other cyber-attacks, and the failure of our cybersecurity systems and procedures</w:t>
      </w:r>
      <w:r>
        <w:rPr>
          <w:color w:val="000000"/>
        </w:rPr>
        <w:t xml:space="preserve">” </w:t>
      </w:r>
      <w:r>
        <w:rPr>
          <w:rFonts w:ascii="Times New Roman;serif" w:hAnsi="Times New Roman;serif"/>
          <w:b w:val="false"/>
          <w:color w:val="000000"/>
          <w:sz w:val="20"/>
        </w:rPr>
        <w:t xml:space="preserve">for further discussion). Laws and regulations governing AI are proliferating rapidly across the jurisdictions in which we operate, including the European Union’s Artificial Intelligence Act and a growing and divergent set of national, state and local requirements. These frameworks are evolving, overlapping and in some cases conflicting, which makes it difficult and costly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design, deploy and operate common, globally consistent AI systems, products and controls, and may require us to develop jurisdiction-specific approaches, restrict or delay the availability of certain AI capabilities in certain jurisdictions, or incur significant compliance costs. Because AI technology is highly complex and rapidly developing, it is not possible to predict all of the legal, operational or technological risks that may arise relating to our use of AI. Any of these issues could materially adversely affect our business, financial condition or results of operations.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AI technologies used in our products and processes may use or incorporate data from third-party sources, including information they input into the AI tools, which may expose us to risks associated with data rights and protection, such as risks associated with infringing, misappropriating or otherwise violating others’ intellectual property rights, and we may also be unable to protect our data from unintended use or access by third-party AI systems. Our ability to develop, commercialize and scale AI-enabled products and services depends in significant part on our ability to obtain and maintain sufficient rights to use data, including our own proprietary data, data licensed from third-party suppliers, and data contributed by or relating to our clients, for the training, fine-tuning, grounding, retrieval and output-generation functions of AI models and applications. If we are unable to secure data rights on commercially reasonable terms and at the scale required, we may be unable to fully realize the anticipated benefits of, or generate the expected revenues from, our investments in AI, our AI-enabled offerings may be delayed, constrained or rendered less competitive, and we may be exposed to claims of infringement, misappropriation or breach of contract, any of which could have a material adverse effect on our business, financial condition or results of operations.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Inadequate or inconsistent governance of our internal use of AI could expose us to security, operational, legal and reputational risks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rapidly expanding the use of AI technologies, including generative and agentic AI, across our products, internal systems and business processes. The pace of adoption may outpace the maturity of our governance, controls and oversight. If AI tools are adopted inconsistently or in a decentralized manner across our business, or are used outside of our established governance frameworks and approved environments, we may be exposed to increased operational, security, legal, regulatory and reputational risk.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introduction of agentic AI, which can take autonomous actions across systems, may create new attack surfaces and novel security vulnerabilities that our existing controls were not designed to address. Our policies, controls and monitoring may not keep pace with the rapid evolution of these technologies or with emerging legal and regulatory requirements. Any failure to establish and enforce effective AI governance could result in security incidents, regulatory scrutiny or enforcement, litigation, harm to our reputation and client relationships, and could otherwise have a material adverse effect on our business, financial condition or results of operations.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Strategy and Market Demand Risks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We are undergoing significant organizational change and transformation, and our failure to execute these initiatives effectively could disrupt our business and adversely affect our results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are undertaking a number of significant organizational, operational and strategic transformation initiatives, including changes to our organizational structure, reporting lines, leadership, product development organization, go-to-market approach, pricing models, and technology and data operations, as well as ongoing investment in AI. These initiatives are complex, are being pursued concurrently, and place substantial demands on management attention and on our workforce. In fiscal 2026, we appointed a new Chief Executive Officer, Chief Financial Officer, Chief People and Workforce Transformation Officer and Chief Technology Officer, among other leadership changes. Significant management transitions of this kind, particularly when they occur concurrently and alongside broader organizational change, involve inherent risk. Such transitions can be disruptive, may result in the loss of institutional or technical knowledge, may affect strategic continuity, execution and decision-making, and may take time to yield their intended benefits. Undertaking too many changes simultaneously, or failing to sequence, resource, prioritize or communicate them effectively, could overwhelm our capacity to execute, disrupt our ongoing business operations, degrade product quality, delivery or client service, and divert resources from revenue-generating activities.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Transformation of this scale may also adversely affect employee morale, engagement and retention, including the potential loss of personnel with critical institutional or technical knowledge, and may strain our culture. The costs and disruption associated with these initiatives may be greater than anticipated, and the anticipated benefits, efficiencies or growth may not be realized on the expected timeframe or at all. Any of the foregoing could have a material adverse effect on our business, financial condition 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Competition in our industry may cause price reductions or loss of market share, or limit our growth or profitability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continue to experience intense competition across all of our products and services, with competitors ranging in size from smaller, highly specialized, single-product businesses to multi-billion-dollar companies. New and existing competitors are constantly developing innovative products or business models, including alternative data, analytics, technology-enabled platforms, and fintech solutions. Many of these competitors also have significant AI capabilities and funding. Some of these competitors may be able to introduce new technology, deliver products and services, or leverage data and analytics faster or more effectively than we can. The rapid pace of technological change, including advances in AI, cloud computing, and machine learning, along with evolving client demands, could cause our products and services to become outdated or less competitive. If we fail to keep pace with innovation, invest in developing new technology or data products, or successfully respond to disruptive competitors and emerging industry standards, our market position, revenues and operating results could be adversely affected. While we believe the breadth and depth of our suite of products and applications offer benefits to our clients that are a competitive advantage, our competitors may offer price incentives to attract new business. Future competitive pricing pressures may result in decreased sales volumes and price reductions, resulting in lower revenues and ASV. Weak economic conditions may also result in clients seeking to utilize lower-cost information that is available from alternative sources. The impact of cost-cutting pressures across the industries we serve could lower demand for our products and services. Clients within the financial services industry that strive to reduce their operating costs may seek to reduce their spending on financial market data and related services, such as ours. If our clients consolidate their spending with fewer suppliers, by selecting suppliers with lower-cost offerings or by self-sourcing their needs for financial market data, our business could be negatively affected. In addition, an increasing amount of free or relatively inexpensive information continues to become available, particularly through the internet and the deployment of AI technologies, which could cause demand for our products and services to be reduced.</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Advances in AI may enable our clients and other third parties to build their own solutions and may reduce demand for our products and services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 significant portion of the value we provide derives from the interfaces, applications, workflows, analytics and connectivity through which we deliver data and functionality to our clients. Advances in generative and agentic AI can lower the cost, time and technical expertise required to aggregate and analyze data and to build software, and may make it increasingly feasible for our clients and other third parties to develop their own tools, interfaces and workflows, or to rely on lower-cost or more generalized AI applications, in place of our offerings. This risk may be accelerated by the growing adoption of standards and protocols that make it easier to connect data and AI models directly, potentially reducing the role of, or demand for, the application and delivery layers on which a substantial part of our business depends.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If clients choose to build or adopt such alternatives, they may reduce or discontinue their use of our products and services, or pressure us to change our pricing or the way we package and deliver our offerings. In addition, to the extent we make our data and capabilities more openly accessible through APIs, AI interfaces or other protocols in order to remain competitive and meet client demand, we may facilitate this substitution or make it more difficult to capture the full value of our offerings. Our efforts to adapt our products, delivery models and pricing in response to these developments may not be successful or timely, and any of the foregoing could reduce demand for our products and services and have a material adverse effect on our business, financial condition or results of operations.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The continued shift from active to passive investing could negatively impact user count growth and revenues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predominant investment strategy today is no longer active investing, which attempts to outperform the market through informed decision-making. Passive investing, which closely matches the performance of market indices, requires little decision-making by investment managers and low operating costs which result in lower fees for the investor. A continued shift to passive investing, resulting in an increased outflow to passively managed index funds, could reduce demand for the services of active investment managers and consequently, the demand of our clients for our products and services.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Uncertainty, downturns or volatility in the global economy and consolidation in the financial services industry may cause us to lose clients and users, or could reduce further growth</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Many of our clients are asset and wealth managers, investment and commercial bankers, hedge funds, private equity and venture capital professionals, and other financial services entities. Uncertainty or downturns in the global economy or a lack of confidence in the global financial system could negatively impact our clients, which could cause a corresponding negative impact on our business results. Mergers, consolidation or contraction of our clients in the financial services industry also could directly impact the number of clients, prospective clients and users of our products and services. If our clients merge with or are acquired by other entities that are not our clients, or that use fewer of our products and services, they may discontinue or reduce their use of our products and services. Any of the foregoing could adversely affect our business, financial results and future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 significant portion of our ASV is derived from our investment management clients, and the profitability and management fees of many of these clients are tied to assets under management. An equity market decline not only depresses the value of assets under management but also could cause a significant increase in redemption requests from our clients’ customers, further reducing their assets under management. Reduced client profits and management fees may cause our clients to cut costs. Moreover, extended declines in the equity and fixed income markets may reduce new fund or client creation. Each of these developments may result in lower demand from investment managers for our products and services, which could negatively affect our business.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Further, decision on the part of large institutional clients to purchase our products and services often requires management-level sponsorship and typically depend upon the size of the client, with larger clients having more complex and time-consuming purchasing processes. The process is also influenced by market volatility and market downturns. These characteristics often lead us to engage in relatively lengthy sales efforts. Purchases (and incremental ASV) may therefore be delayed as uncertainties or downturns in the financial markets may cause clients to remain cautious about capital and data content expenditures, particularly in uncertain economic environments. Market volatility or market downturns may curtail our clients' spending and lead them to delay or defer purchasing decisions or product service implementations, or cause them to cancel or reduce their spending with us, which could negatively impact our revenues and future growth.</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Failure to develop and market new products and enhancements that maintain our technological and competitive position and failure to anticipate and respond to changes in the marketplace for our products and client demands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market for our products is characterized by rapid technological change, including developing technologies such as AI, including agentic AI, methods and speed of delivery, changes in client demands, development of new investment instruments and evolving industry standards. The direction of these trends can render our existing products less competitive, obsolete or unmarketable. As a result, our future success will continue to depend upon our ability to identify and develop new products and enhancements that address the future needs of our target markets and to respond to their changing standards and practices. We may not be successful in developing, introducing, marketing, licensing and implementing new products and enhancements on a timely and cost-effective basis or without impacting the stability and efficiency of existing products and client systems. Further, any new products and enhancements may not adequately meet the requirements of the marketplace or achieve market acceptance. We must make long-term investments and commit significant resources, for example, to developing and utilizing AI technology, before knowing whether these investments will eventually result in products and services that satisfy our clients' needs and generate revenues required to provide the desired results. Our failure or inability to anticipate and respond to changes in the marketplace, including competitor and supplier developments, may also adversely affect our business, operations and growth.</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Errors or defects can exist at any point in a product's life cycle, but are more frequently found after the introduction of new products or enhancements to existing products. Despite internal testing and testing by clients, our products may contain errors. We may also experience delays while developing and introducing new products for various reasons, such as difficulties in licensing data inputs. Defects, errors, or delays in our products that are significant, or are perceived to be significant, could result in rejection or delay in market acceptance, damage to our reputation, loss of revenues, lower rate of license renewals or upgrades, diversion of development resources, product liability claims or regulatory actions, or increases in service and support costs. In addition, our products and services often require implementation, configuration, integration and onboarding before clients can realize their full value, and this is increasingly complex as we undergo a transformation and introduce new technologies and AI-enabled offerings. If we do not implement, deploy and support our products effectively and on a timely basis, or if clients do not receive adequate onboarding, training or support, clients may not adopt or fully utilize our products, may become dissatisfied, may not renew or expand their subscriptions, or may reduce or terminate their use of our products and services, and we may incur higher service and support costs, any of which could adversely affect our revenues, ASV and results of operations.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 xml:space="preserve">Clients are seeking additional contractual protections that may create additional liabilities for us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Clients are increasingly looking to pass on contractual obligations to us, which may include service level, information and cybersecurity requirements and audit rights. Many of our clients in the financial services sector are also subject to regulations and requirements to adopt risk management processes commensurate with the level of risk and complexity of their third-party relationships (including as required under the European Union ("EU") Digital Operational Resilience Act ("DORA")), and provide rigorous oversight of relationships that involve certain "critical activities," some of which may be deemed to be provided by us. Any failure on our part to comply with the specific provisions in client contracts, including having appropriate information security capabilities, could result in the imposition of various penalties, which may include termination of contracts, service credits, suspension of payments, contractual penalties, adverse monetary judgments, and, in the case of government contracts, suspension from future government contracting. Even if the outcome of any claims brought against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were ultimately favorable, such a claim would require the time and attention of our management, personnel, as well as financial and other resources and potentially pose a significant disruption to our normal business operations and reputational damage.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Failure to identify, integrate, or realize anticipated benefits of acquisitions and strains on resources as a result of growth</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have historically pursued, and expect to continue to pursue, acquisitions and other strategic transactions as part of our growth strategy, although the level of such activity varies from period to period and may be limited or absent in any given year. There can be no assurance that we will be able to identify suitable candidates for successful acquisition at acceptable prices. Additionally, there may be integration risks or other risks resulting from acquired businesses. Our ability to achieve the expected returns and synergies from past and future acquisitions and alliances depends in part upon our ability to integrate the offerings, technology, sales, administrative functions and key personnel of these businesses effectively into our core business. We cannot guarantee that our acquired businesses will perform at the levels anticipated. In addition, past and future acquisitions may subject us to unanticipated risks or liabilities or disrupt operations.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Growth, such as the addition of new clients and acquisitions, puts demands on our resources, including our internal systems and infrastructure. These may require improvements or replacement to meet the additional demands of a larger organization. Further, the addition of new clients and the implementation of such improvements would require additional management time and resources. These needs may result in increased costs that could negatively impact results of operations. Failure to implement needed improvements, such as improved scalability, could result in a deterioration in the performance of our internal systems and negatively impact the performance of our business.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Failure to maintain reputation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ability to attract and retain clients and employees is affected by external perceptions of our brand and reputation. Reputational damage from negative perceptions or publicity, including, without limitation, market perception of our sustainability and corporate responsibility policies and practices and our adoption of and use of emerging technologies, could affect our ability to attract and retain clients and employees and our ability to maintain our pricing for our products and services. Although we monitor developments for areas of potential risk to our reputation and brand, negative perceptions or publicity could have a material adverse effect on our business and financial results.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Increased scrutiny with respect to environmental, social and governance matters</w:t>
      </w:r>
    </w:p>
    <w:p>
      <w:pPr>
        <w:pStyle w:val="TextBody"/>
        <w:bidi w:val="0"/>
        <w:spacing w:lineRule="auto" w:line="288" w:before="200" w:after="283"/>
        <w:jc w:val="both"/>
        <w:rPr/>
      </w:pPr>
      <w:r>
        <w:rPr>
          <w:rFonts w:ascii="Times New Roman;serif" w:hAnsi="Times New Roman;serif"/>
          <w:b w:val="false"/>
          <w:color w:val="000000"/>
          <w:sz w:val="20"/>
        </w:rPr>
        <w:t>New laws, regulations, policies, and international agreements relating to environmental, social and governance (“ESG”) matters are being developed and formalized in Europe and elsewhere</w:t>
      </w:r>
      <w:r>
        <w:rPr>
          <w:color w:val="000000"/>
        </w:rPr>
        <w:t xml:space="preserve"> </w:t>
      </w:r>
      <w:r>
        <w:rPr>
          <w:rFonts w:ascii="Times New Roman;serif" w:hAnsi="Times New Roman;serif"/>
          <w:b w:val="false"/>
          <w:color w:val="000000"/>
          <w:sz w:val="20"/>
        </w:rPr>
        <w:t>globally, which requires us to comply with specific, target-driven frameworks, disclosure and other requirements in multiple jurisdictions. Increased public, political or media scrutiny concerning ESG or climate matters may negatively affect our reputation. We may face criticism in respect of our climate and ESG products. Simultaneously, there are efforts by some stakeholders to reduce companies' efforts on certain environmental, social and sustainability-related initiatives. Both advocates and opponents of these matters are increasingly resorting to a range of activism forms, including media campaigns and litigation, to advance their perspectives. Such scrutiny may impact demand for our products or limit our ability to attract and retain clients, resulting in adverse effects on our business, operating results or financial condition. Additionally, many of our business partners and suppliers may be subject to similar reporting and stakeholder expectations, which may augment or create additional risks, including risks that may not be known to us.</w:t>
      </w:r>
    </w:p>
    <w:p>
      <w:pPr>
        <w:pStyle w:val="TextBody"/>
        <w:bidi w:val="0"/>
        <w:spacing w:lineRule="auto" w:line="288" w:before="20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Operational Risks</w:t>
      </w:r>
    </w:p>
    <w:p>
      <w:pPr>
        <w:pStyle w:val="TextBody"/>
        <w:bidi w:val="0"/>
        <w:spacing w:lineRule="auto" w:line="288" w:before="200" w:after="283"/>
        <w:jc w:val="both"/>
        <w:rPr/>
      </w:pPr>
      <w:r>
        <w:rPr>
          <w:rFonts w:ascii="Times New Roman;serif" w:hAnsi="Times New Roman;serif"/>
          <w:b/>
          <w:i/>
          <w:color w:val="000000"/>
          <w:sz w:val="20"/>
        </w:rPr>
        <w:t>W</w:t>
      </w:r>
      <w:r>
        <w:rPr>
          <w:rFonts w:ascii="Times New Roman;serif" w:hAnsi="Times New Roman;serif"/>
          <w:b/>
          <w:i/>
          <w:color w:val="000000"/>
          <w:sz w:val="20"/>
          <w:shd w:fill="FFFFFF" w:val="clear"/>
        </w:rPr>
        <w:t>e depend on third-party vendors, partners and service providers, and disruptions to or failures by these third parties could adversely affect our business</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rely on third-party vendors, partners and service providers for a range of critical functions, including cloud hosting and infrastructure, data and content, software, connectivity, and certain operational and business processes, and our reliance on such third parties, including partners, is increasing. We do not control the operations, security or business continuity of these third parties, and they may fail to perform to our standards or contractual requirements, suffer their own security incidents, outages, financial distress or business disruptions, be acquired (including by our competitors), change or discontinue their offerings, or increase their pricing. Concentration among a limited number of key providers, including our reliance on a single provider for the majority of our cloud computing, increases the potential impact of any such failure or disruption and may make it difficult, costly or time-consuming for us to transition to an alternative provider. Any failure by, or disruption to, our key third parties could impair our ability to deliver our products and services, expose us to increased costs, regulatory scrutiny, liability under our client contracts and reputational harm, and could have a material adverse effect on our business, financial condition 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Operations outside the U.S. involve additional requirements and burdens that we may not be able to control or manage successfully</w:t>
      </w:r>
    </w:p>
    <w:p>
      <w:pPr>
        <w:pStyle w:val="TextBody"/>
        <w:bidi w:val="0"/>
        <w:spacing w:lineRule="auto" w:line="288" w:before="200" w:after="283"/>
        <w:jc w:val="both"/>
        <w:rPr/>
      </w:pPr>
      <w:r>
        <w:rPr>
          <w:rFonts w:ascii="Times New Roman;serif" w:hAnsi="Times New Roman;serif"/>
          <w:b w:val="false"/>
          <w:color w:val="000000"/>
          <w:sz w:val="20"/>
          <w:shd w:fill="FFFFFF" w:val="clear"/>
        </w:rPr>
        <w:t xml:space="preserve">In fiscal 2026, approximately </w:t>
      </w:r>
      <w:r>
        <w:rPr>
          <w:rFonts w:ascii="Times New Roman;serif" w:hAnsi="Times New Roman;serif"/>
          <w:b w:val="false"/>
          <w:color w:val="000000"/>
          <w:sz w:val="20"/>
        </w:rPr>
        <w:t>39%</w:t>
      </w:r>
      <w:r>
        <w:rPr>
          <w:color w:val="000000"/>
          <w:shd w:fill="FFFFFF" w:val="clear"/>
        </w:rPr>
        <w:t xml:space="preserve"> </w:t>
      </w:r>
      <w:r>
        <w:rPr>
          <w:rFonts w:ascii="Times New Roman;serif" w:hAnsi="Times New Roman;serif"/>
          <w:b w:val="false"/>
          <w:color w:val="000000"/>
          <w:sz w:val="20"/>
          <w:shd w:fill="FFFFFF" w:val="clear"/>
        </w:rPr>
        <w:t xml:space="preserve">of our revenues related to operations located outside the U.S. In addition, approximately </w:t>
      </w:r>
      <w:r>
        <w:rPr>
          <w:rFonts w:ascii="Times New Roman;serif" w:hAnsi="Times New Roman;serif"/>
          <w:b w:val="false"/>
          <w:color w:val="000000"/>
          <w:sz w:val="20"/>
        </w:rPr>
        <w:t>81% of our employees</w:t>
      </w:r>
      <w:r>
        <w:rPr>
          <w:color w:val="000000"/>
          <w:shd w:fill="FFFFFF" w:val="clear"/>
        </w:rPr>
        <w:t xml:space="preserve"> </w:t>
      </w:r>
      <w:r>
        <w:rPr>
          <w:rFonts w:ascii="Times New Roman;serif" w:hAnsi="Times New Roman;serif"/>
          <w:b w:val="false"/>
          <w:color w:val="000000"/>
          <w:sz w:val="20"/>
          <w:shd w:fill="FFFFFF" w:val="clear"/>
        </w:rPr>
        <w:t>are located in offices outside the U.S., including India and the Philippines. We expect our growth to continue outside the U.S. Our non-U.S. operations involve risks that differ from or are in addition to those faced by our U.S. operations. These risks include difficulties in developing products, services and technology tailored to the needs of non-U.S. clients, including in emerging markets; different employment laws and rules; rising labor costs in lower-wage countries; difficulties in staffing and managing personnel that are located outside the U.S.; different regulatory, legal and compliance requirements, including in the areas of privacy and data protection, anti-bribery and anti-corruption, trade sanctions and restraints and currency controls, marketing and sales and other barriers to conducting business; social and cultural differences, such as language; diverse or less stable political, operating and economic environments and market fluctuations; extreme weather conditions, civil disturbances or other catastrophic events that reduce business activity, including the risk that the current conflicts in Ukraine and Russia and in the Middle East expand in a way that impacts our business and operations; limited recognition of our brand and intellectual property protection; differing accounting principles and standards; restrictions on or adverse tax consequences from entity management efforts; and changes in U.S. or foreign tax laws. In addition, because our non-U.S. workforce and operations are concentrated in a limited number of locations, a local or regional disruption affecting one of these hubs - whether due to natural disaster, extreme weather or climate-related events, public health crises, power or telecommunications failures, civil or political unrest, labor disruption or security incidents - could interrupt or degrade our operations, including data collection, product delivery and client support, and our business continuity and disaster recovery plans may not be adequate to fully mitigate the impact of any such event. If we are not able to adapt efficiently or manage the business effectively in markets outside the U.S., our business prospects and operating results could be materially and adversely affected.</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Failure to enter into, renew or comply with contracts supplying new and existing content sets or products on competitive terms</w:t>
      </w:r>
    </w:p>
    <w:p>
      <w:pPr>
        <w:pStyle w:val="TextBody"/>
        <w:bidi w:val="0"/>
        <w:spacing w:lineRule="auto" w:line="288" w:before="200" w:after="283"/>
        <w:jc w:val="both"/>
        <w:rPr/>
      </w:pPr>
      <w:r>
        <w:rPr>
          <w:rFonts w:ascii="Times New Roman;serif" w:hAnsi="Times New Roman;serif"/>
          <w:b w:val="false"/>
          <w:color w:val="000000"/>
          <w:sz w:val="20"/>
        </w:rPr>
        <w:t xml:space="preserve">We collect and aggregate third-party content from data suppliers, news sources, exchanges, brokers and contributors into our own dedicated managed databases, which our clients access through our flexible delivery platforms. These databases are important to our operations as they provide clients with key information. We have entered into third-party content agreements of varying lengths, which in some cases can be terminated on one year’s notice at predefined dates, and in other cases on shorter notice. Some of our content provider agreements are with competitors or smaller entities who may be acquired by our competitors, who have and may attempt to make renewals difficult or expensive. We seek to maintain favorable contractual relationships with our content suppliers, including those that are also competitors. However, we cannot control the actions and policies of our content suppliers and we may have content suppliers who provide </w:t>
      </w:r>
      <w:r>
        <w:rPr>
          <w:rFonts w:ascii="Times New Roman;serif" w:hAnsi="Times New Roman;serif"/>
          <w:b w:val="false"/>
          <w:color w:val="000000"/>
          <w:sz w:val="20"/>
          <w:shd w:fill="FFFFFF" w:val="clear"/>
        </w:rPr>
        <w:t>us</w:t>
      </w:r>
      <w:r>
        <w:rPr>
          <w:color w:val="000000"/>
        </w:rPr>
        <w:t xml:space="preserve"> </w:t>
      </w:r>
      <w:r>
        <w:rPr>
          <w:rFonts w:ascii="Times New Roman;serif" w:hAnsi="Times New Roman;serif"/>
          <w:b w:val="false"/>
          <w:color w:val="000000"/>
          <w:sz w:val="20"/>
        </w:rPr>
        <w:t xml:space="preserve">with notice of termination, or exclude or restrict us from use of their content, or only license such content at prohibitive cost. Additionally, despite our efforts to comply with our third-party content supplier agreements, there can be no assurances that third parties may not challenge our use of their content, especially during periods of economic uncertainty, which could result in increased licensing costs, loss of rights, and costly legal actions. Certain content sets that we rely on have a limited number of suppliers, although we make an effort to have alternative sources available, where reasonable. We are not dependent on any one third-party content supplier to meet the needs of our clients. Two suppliers each represented more than 10% of our total third-party content costs for fiscal </w:t>
      </w:r>
      <w:r>
        <w:rPr>
          <w:rFonts w:ascii="Times New Roman;serif" w:hAnsi="Times New Roman;serif"/>
          <w:b w:val="false"/>
          <w:color w:val="000000"/>
          <w:sz w:val="20"/>
          <w:shd w:fill="FFFFFF" w:val="clear"/>
        </w:rPr>
        <w:t>2026</w:t>
      </w:r>
      <w:r>
        <w:rPr>
          <w:rFonts w:ascii="Times New Roman;serif" w:hAnsi="Times New Roman;serif"/>
          <w:b w:val="false"/>
          <w:color w:val="000000"/>
          <w:sz w:val="20"/>
        </w:rPr>
        <w:t>. Additionally, we use AI technologies from third party suppliers, which may include open-source software. If we are unable to maintain rights to use these AI technologies on commercially reasonable terms, we may be forced to acquire or develop alternate AI technologies. Our failure to be able to maintain our supplier relationships, or the failure of our suppliers to deliver accurate content or in a timely manner, or the occurrence of a dispute with a vendor over use of their content, could increase our costs and reduce the type of content and products and services available to our clients, which could harm our reputation in the marketplace and adversely affect our business.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Inability to hire and retain key qualified personnel or navigate key management transitions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development, maintenance, sale, implementation and support of our products and services are dependent upon the knowledge, experience and ability of our highly skilled, educated and trained key personnel. Accordingly, our business is dependent on successfully attracting, retaining and training talented employees and navigating key management transitions (including in our executive leadership team) in a highly competitive business environment. Competition for talent, especially engineering, technology, and sales personnel, is strong. Our ability to attract and retain talented employees is dependent on a number of factors, including prevailing market conditions and compensation packages offered by companies competing for the same talent.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Key management transitions, such as the transition of our Chief Executive Officer in 2025, involve inherent risk, and such transition periods can be disruptive and may result in a loss of personnel with deep institutional or technical knowledge. If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are unsuccessful in our recruiting efforts, or if we are unable to retain key employees or offer competitive compensation and benefit packages and career structures, or if we are unable to navigate key management transitions, our ability to develop and deliver successful products and services or achieve strategic goals may be adversely affected, which could have a material adverse effect on our business and results of operations.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If we fail to maintain proper and effective internal control and remediate any future control deficiencies, our ability or perceived ability to produce accurate and timely financial statements or reporting could be impaired, which could harm our business.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Sarbanes-Oxley Act places certain requirements on public reporting companies with respect to internal controls for financial reporting and disclosure controls and procedures. As such, public reporting companies are required to furnish a report by management on, among other things, the effectiveness of internal control over financial reporting. This assessment will include disclosure of any material weaknesses identified by management in a company’s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previously disclosed in our Annual Report on Form 10-K for the fiscal year ended August 31, 2024, we identified a material weakness in our internal control over financial reporting related to the design and operation of our information technology (“IT”) general controls that support our revenues, accounts receivable, and deferred revenues processes, which was remediated as of August 31, 2026. There can be no assurance that other control deficiencies, or a new material weakness, will not occur in the future, whether in these IT general controls or in other areas, particularly as we continue to modernize our technology environment, integrate acquisitions and implement new systems and processes. No system of controls, no matter how well designed and operated, can provide absolute assurance that the objectives of the system of controls will be met, and no evaluation of controls can provide absolute assurance that all control deficiencies or material weaknesses have been or will be detected. If we identify one or more additional material weaknesses, or, if we are otherwise unable to maintain effective internal control over financial reporting or disclosure controls and procedures, our financial reporting may be adversely affected and could result in violations of applicable securities laws, stock exchange listing requirements, negatively affect investor confidence in our financial statements, subject us to litigation or investigations and adversely impact our stock price and our ability to access capital markets.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Legal and Regulatory Risks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Legislative and regulatory changes in the environments in which we and our clients operate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a business, we are subject to numerous laws and regulations in the U.S. and in the other countries in which we operate. These laws, rules, and regulations, and their interpretations, may conflict or change in the future, and compliance with these changes may increase our costs or cause us to make changes in or otherwise limit our business practices. In addition, the global nature and scope of our business operations make it more difficult to monitor areas that may be subject to regulatory and compliance risk. If we fail to comply with any applicable law, rule, or regulation, we could be subject to claims and fines and suffer reputational damage. Uncertainty caused by political change globally and complex relationships across countries heightens the risk of regulatory uncertainty. </w:t>
      </w:r>
    </w:p>
    <w:p>
      <w:pPr>
        <w:pStyle w:val="TextBody"/>
        <w:bidi w:val="0"/>
        <w:spacing w:lineRule="auto" w:line="288" w:before="200" w:after="283"/>
        <w:jc w:val="both"/>
        <w:rPr/>
      </w:pPr>
      <w:r>
        <w:rPr>
          <w:rFonts w:ascii="Times New Roman;serif" w:hAnsi="Times New Roman;serif"/>
          <w:b w:val="false"/>
          <w:color w:val="000000"/>
          <w:sz w:val="20"/>
        </w:rPr>
        <w:t>Many of our clients operate within a highly regulated environment and must comply with governmental legislation and regulations. During the last several years, global regulators have increased their focus on the regulation of the financial services industry. Increased regulation of our clients may increase their expenses, causing them to seek to limit or reduce their costs from outside services such as ours. Some recent legislative and regulatory changes that we believe could impact us and our clients include: (a) in the U.S., the Financial Data Transparency Act of 2022 ("FDTA"), which requires the FDTA’s sponsoring U.S. government agencies to identify standards, including common identifiers, for reporting financial products and transactions to those agencies; (b) in the EU, the EU’s DORA imposes operational resilience and cyber security standards and obligations, including technical and organizational standards and responsibilities which require technology and/or organizational investment, upon (i) many of our financial market clients, who aim to pass such obligations onto vendors, including us, and (ii) information and communications technology providers designated by the EU as “Critical Third Party Providers.”</w:t>
      </w:r>
      <w:r>
        <w:rPr>
          <w:color w:val="000000"/>
        </w:rPr>
        <w:t xml:space="preserve"> </w:t>
      </w:r>
      <w:r>
        <w:rPr>
          <w:rFonts w:ascii="Times New Roman;serif" w:hAnsi="Times New Roman;serif"/>
          <w:b w:val="false"/>
          <w:color w:val="000000"/>
          <w:sz w:val="20"/>
        </w:rPr>
        <w:t>The UK is advancing similar legislation and other jurisdictions could follow; and (c) in Asia Pacific, we and our clients are subject to a number of regulatory risks. For example, in China, there is an evolving regulatory environment and complex data security and data transfer regulations. These factors may increase compliance risk and costs for us and our clients.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Adverse resolution of litigation or governmental investigations</w:t>
      </w:r>
    </w:p>
    <w:p>
      <w:pPr>
        <w:pStyle w:val="TextBody"/>
        <w:bidi w:val="0"/>
        <w:spacing w:lineRule="auto" w:line="288" w:before="200" w:after="283"/>
        <w:jc w:val="both"/>
        <w:rPr/>
      </w:pPr>
      <w:r>
        <w:rPr>
          <w:rFonts w:ascii="Times New Roman;serif" w:hAnsi="Times New Roman;serif"/>
          <w:b w:val="false"/>
          <w:color w:val="000000"/>
          <w:sz w:val="20"/>
        </w:rPr>
        <w:t xml:space="preserve">We are party to various legal proceedings, claims, and litigation in the normal course of our business and from time to time the subject of government and regulatory proceedings, investigations, and inquiries, as discussed in Item 3. </w:t>
      </w:r>
      <w:r>
        <w:rPr>
          <w:rFonts w:ascii="Times New Roman;serif" w:hAnsi="Times New Roman;serif"/>
          <w:b w:val="false"/>
          <w:i/>
          <w:color w:val="000000"/>
          <w:sz w:val="20"/>
        </w:rPr>
        <w:t>Legal Proceedings</w:t>
      </w:r>
      <w:r>
        <w:rPr>
          <w:rFonts w:ascii="Times New Roman;serif" w:hAnsi="Times New Roman;serif"/>
          <w:b w:val="false"/>
          <w:color w:val="000000"/>
          <w:sz w:val="20"/>
        </w:rPr>
        <w:t xml:space="preserve">, of this Annual Report on Form 10-K, and we face the risk that additional proceedings, litigation, investigations and inquiries may arise in the future. For example, on March 4, 2022, plaintiffs filed a purported class action, </w:t>
      </w:r>
      <w:r>
        <w:rPr>
          <w:rFonts w:ascii="Times New Roman;serif" w:hAnsi="Times New Roman;serif"/>
          <w:b w:val="false"/>
          <w:i/>
          <w:color w:val="000000"/>
          <w:sz w:val="20"/>
        </w:rPr>
        <w:t>Dinosaur Financial Group LLC et al. v. S&amp;P Global, Inc. et al.</w:t>
      </w:r>
      <w:r>
        <w:rPr>
          <w:rFonts w:ascii="Times New Roman;serif" w:hAnsi="Times New Roman;serif"/>
          <w:b w:val="false"/>
          <w:color w:val="000000"/>
          <w:sz w:val="20"/>
        </w:rPr>
        <w:t>, in the United States District Court for the Southern District of New York, against FactSet, S&amp;P Global, Inc., and the American Bankers Association. Plaintiffs generally allege that CGS's license terms and enforcement practices charged fees for CGS data delivered through third-party vendors in purported violation of copyright, federal antitrust, and state unfair business practices laws, as well as breach of contract, and seek damages and injunctive relief. On July 14, 2023, the court dismissed plaintiffs' copyright, breach of contract, and half of the federal antitrust claims. On August 28, 2026, the court granted certification of a class of certain subscribers to CGS data. On September 10, 2026, the court vacated that order and scheduled additional class certification briefing. We can provide no assurance as to the scope and outcome of this matter, and we could in the future incur judgments or enter into settlements of claims that could have a material adverse effect on our business, results of operations, financial position, or cash flows.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Any proceedings, litigation, claims, investigations or inquiries impose additional expenses on the Company, require the attention of senior management, and could ultimately result in adverse judgments, damages, fines, penalties, activity restrictions, reduced demand for our products and services, or negative impacts on our cash flows, which could have a material adverse effect on our business, financial condition or results of operations. In view of the uncertainty inherent in such matters, we cannot predict the outcome of the matters we are currently facing or the timing of their resolution, or in most cases reasonably estimate what the eventual impact may be. The outcome of, or cost of defending, matters we are currently facing or that we may face in the future could have a material adverse effect on our business, financial condition, or results of operations.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we receive client complaints. In the interest of managing client relationships, we may from time to time engage in dialogue with clients in an effort to resolve such complaints, and if such complaints cannot be resolved through dialogue, we may face litigation regarding such complaints.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Third parties may claim we infringe upon their intellectual property rights or they may infringe upon our intellectual property rights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may receive notice from others claiming that we have infringed upon their intellectual property rights. Responding to these claims may require us to enter into royalty and licensing agreements on unfavorable terms, incur litigation costs, enter into settlements, stop selling or redesign affected products, or pay damages and satisfy indemnification commitments with our clients or suppliers under contractual provisions of various license arrangements. Additionally, third parties may copy, infringe or otherwise profit from the unauthorized use of our intellectual property rights, requiring us to litigate to protect our rights. Certain countries may not offer adequate protection of proprietary rights. If we are required to defend ourselves or assert our rights or take such actions mentioned, our operating margins may decline as a result. We have incurred, and expect to continue to incur, expenditures to acquire the use of technology and intellectual property rights as part of our strategy to manage this risk.</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Compliance with global data privacy laws which are constantly evolving</w:t>
      </w:r>
    </w:p>
    <w:p>
      <w:pPr>
        <w:pStyle w:val="TextBody"/>
        <w:bidi w:val="0"/>
        <w:spacing w:lineRule="auto" w:line="288" w:before="200" w:after="283"/>
        <w:jc w:val="both"/>
        <w:rPr/>
      </w:pPr>
      <w:r>
        <w:rPr>
          <w:rFonts w:ascii="Times New Roman;serif" w:hAnsi="Times New Roman;serif"/>
          <w:b w:val="false"/>
          <w:color w:val="000000"/>
          <w:sz w:val="20"/>
        </w:rPr>
        <w:t>We, and certain types of information we collect, compile, use, and publish, are subject to numerous global laws and regulations governing the protection of personal and confidential information of our clients, employees and products in the jurisdictions in which we operate. These include, for example, the EU's General Data Protection Regulation, an increasing number of U.S. state laws, such as California's Consumer Privacy Act and Connecticut's Personal Data Privacy and Online Monitoring Act, China's Personal Information Protection Law, and India's Digital Personal Data Protection Act. These laws contain requirements regarding the handling of personal and sensitive data, including our use, protection and the ability of persons whose data is stored to correct or delete such data about themselves. The law in this area continues to develop and the changing nature of these laws could impact our processing and cross-border transfer of personal and sensitive information related to our content, operations, employees, clients, suppliers and others, and may expose us to claims of violations.</w:t>
      </w:r>
      <w:r>
        <w:rPr>
          <w:color w:val="000000"/>
        </w:rPr>
        <w:t xml:space="preserve"> </w:t>
      </w:r>
      <w:r>
        <w:rPr>
          <w:rFonts w:ascii="Times New Roman;serif" w:hAnsi="Times New Roman;serif"/>
          <w:b w:val="false"/>
          <w:color w:val="000000"/>
          <w:sz w:val="20"/>
        </w:rPr>
        <w:t xml:space="preserve">Further, global privacy, data localization, data maintenance, data transfer and data protection legislation, regulatory, enforcement, and policy activity are rapidly and continually evolving and creating a complex regulatory compliance environment.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Changes in tax laws and other tax-related risks could adversely affect our financial results</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are subject to income and other taxes in the United States and various foreign jurisdictions. Determining our tax obligations requires significant judgment and relies on estimates and assumptions. Tax authorities may challenge our interpretations of applicable tax laws or the treatment of our transactions. In the ordinary course of business, we are subject to examinations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tax authorities. The outcomes of these examinations and related disputes may differ from amounts recorded and could result in additional tax liabilities and related costs, adversely affecting our results of operations, financial condition and cash flows.</w:t>
      </w:r>
    </w:p>
    <w:p>
      <w:pPr>
        <w:pStyle w:val="TextBody"/>
        <w:bidi w:val="0"/>
        <w:spacing w:lineRule="auto" w:line="288" w:before="200" w:after="283"/>
        <w:jc w:val="both"/>
        <w:rPr/>
      </w:pPr>
      <w:r>
        <w:rPr>
          <w:rFonts w:ascii="Times New Roman;serif" w:hAnsi="Times New Roman;serif"/>
          <w:b w:val="false"/>
          <w:color w:val="000000"/>
          <w:sz w:val="20"/>
          <w:shd w:fill="FFFFFF" w:val="clear"/>
        </w:rPr>
        <w:t xml:space="preserve">Our effective tax rate may be affected by changes in the geographic mix of earnings and our ability to realize tax benefits. Changes in tax laws, regulations or treaties, or their interpretation, application or enforcement, including changes relating to international taxation and minimum tax requirements, could increase our tax obligations, effective tax rate and compliance costs. Evolving guidance, differences in implementation across jurisdictions and potentially conflicting tax requirements may create additional uncertainty and complexity in determining, collecting and remitting taxes. Refer to </w:t>
      </w:r>
      <w:r>
        <w:rPr>
          <w:rFonts w:ascii="Times New Roman;serif" w:hAnsi="Times New Roman;serif"/>
          <w:b w:val="false"/>
          <w:color w:val="000000"/>
          <w:sz w:val="20"/>
        </w:rPr>
        <w:t xml:space="preserve">Part II, Item 8. Note 8, </w:t>
      </w:r>
      <w:r>
        <w:rPr>
          <w:rFonts w:ascii="Times New Roman;serif" w:hAnsi="Times New Roman;serif"/>
          <w:b w:val="false"/>
          <w:i/>
          <w:color w:val="000000"/>
          <w:sz w:val="20"/>
        </w:rPr>
        <w:t xml:space="preserve">Income Taxes </w:t>
      </w:r>
      <w:r>
        <w:rPr>
          <w:rFonts w:ascii="Times New Roman;serif" w:hAnsi="Times New Roman;serif"/>
          <w:b w:val="false"/>
          <w:color w:val="000000"/>
          <w:sz w:val="20"/>
        </w:rPr>
        <w:t xml:space="preserve">in the Notes to the Consolidated Financial Statements included in this Annual Report on Form 10-K </w:t>
      </w:r>
      <w:r>
        <w:rPr>
          <w:rFonts w:ascii="Times New Roman;serif" w:hAnsi="Times New Roman;serif"/>
          <w:b w:val="false"/>
          <w:color w:val="000000"/>
          <w:sz w:val="20"/>
          <w:shd w:fill="FFFFFF" w:val="clear"/>
        </w:rPr>
        <w:t>for additional information.</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Financial Market Risks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Exposure to fluctuations in currency exchange rates and the failure of hedging arrangements</w:t>
      </w:r>
    </w:p>
    <w:p>
      <w:pPr>
        <w:pStyle w:val="TextBody"/>
        <w:bidi w:val="0"/>
        <w:spacing w:lineRule="auto" w:line="288" w:before="200" w:after="283"/>
        <w:jc w:val="both"/>
        <w:rPr/>
      </w:pPr>
      <w:r>
        <w:rPr>
          <w:rFonts w:ascii="Times New Roman;serif" w:hAnsi="Times New Roman;serif"/>
          <w:b w:val="false"/>
          <w:color w:val="000000"/>
          <w:sz w:val="20"/>
        </w:rPr>
        <w:t xml:space="preserve">Due to the global nature of our operations, we are exposed to market risk arising from fluctuations in foreign currency exchange rates, particularly in our primary currency exposures, namely the </w:t>
      </w:r>
      <w:r>
        <w:rPr>
          <w:rFonts w:ascii="Times New Roman;serif" w:hAnsi="Times New Roman;serif"/>
          <w:b w:val="false"/>
          <w:color w:val="000000"/>
          <w:sz w:val="20"/>
          <w:shd w:fill="FFFFFF" w:val="clear"/>
        </w:rPr>
        <w:t>British Pound Sterling, Euro, Indian Rupee and Philippine Peso</w:t>
      </w:r>
      <w:r>
        <w:rPr>
          <w:rFonts w:ascii="Times New Roman;serif" w:hAnsi="Times New Roman;serif"/>
          <w:b w:val="false"/>
          <w:color w:val="000000"/>
          <w:sz w:val="20"/>
        </w:rPr>
        <w:t>. These fluctuations can adversely affect our financial results. To the extent our international activities increase in the future, our exposure to fluctuations in currency exchange rates may increase as well. To manage this exposure, we use derivative instruments, specifically foreign currency forward contracts, that are designed to offset the impact of currency movements on a portion of our projected operating expenses related to our primary currency exposures; however, our attempt to hedge fluctuations in foreign currency exchange rates may not be successful, which could cause an adverse impact on both our results of operations and cash flows.</w:t>
      </w:r>
    </w:p>
    <w:p>
      <w:pPr>
        <w:pStyle w:val="TextBody"/>
        <w:bidi w:val="0"/>
        <w:spacing w:lineRule="auto" w:line="288" w:before="200" w:after="283"/>
        <w:jc w:val="left"/>
        <w:rPr/>
      </w:pPr>
      <w:r>
        <w:rPr>
          <w:rFonts w:ascii="Times New Roman;serif" w:hAnsi="Times New Roman;serif"/>
          <w:b/>
          <w:i/>
          <w:color w:val="000000"/>
          <w:sz w:val="20"/>
        </w:rPr>
        <w:t>Business performance may not be sufficient to meet financial guidance or publicly disclosed long-term targets</w:t>
      </w:r>
      <w:r>
        <w:rPr>
          <w:color w:val="000000"/>
        </w:rPr>
        <w:t xml:space="preserv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provide public, full-year financial guidance based upon assumptions regarding our expected financial performance. We can provide no assurances that we will be able to meet such financial guidance or maintain the levels of growth and profitability that we have experienced in the past, or that our growth strategies will be successful. If we are unable to successfully execute on our strategies to achieve our growth objectives and retain our existing clients, or if we experience higher than expected operating costs or taxes, we risk not meeting our full-year financial guidance or may find it necessary to revise such guidance during the year, which could have an adverse impact on our stock price.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Economic, political and other forces beyond our control could adversely affect our business.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costs and the demand for our products and services may be impacted by domestic and international factors that are beyond our control. Negative conditions in the general economy in either the U.S. or abroad, including conditions resulting from financial and credit market fluctuations, changes in economic policy, inflation rate fluctuations and trade uncertainty, including changes in tariffs, sanctions, international treaties and other trade restrictions, or other geopolitical events, such as the ongoing military conflicts between Russia and Ukraine and in the Middle East, natural and man-made disasters and public health crises (e.g., pandemics) could result in an increase in our costs and/or a reduction in demand for our products and services, which could have an adverse effect on our results of operations and financial condition.</w:t>
      </w:r>
    </w:p>
    <w:p>
      <w:pPr>
        <w:pStyle w:val="TextBody"/>
        <w:bidi w:val="0"/>
        <w:spacing w:lineRule="auto" w:line="288" w:before="200" w:after="283"/>
        <w:jc w:val="both"/>
        <w:rPr/>
      </w:pPr>
      <w:r>
        <w:rPr>
          <w:rFonts w:ascii="Times New Roman;serif" w:hAnsi="Times New Roman;serif"/>
          <w:b w:val="false"/>
          <w:color w:val="000000"/>
          <w:sz w:val="20"/>
        </w:rPr>
        <w:t>In addition, the U.S. has imposed tariffs on many foreign products, including tariffs on imports from China, Canada, and many other foreign countries, that in the past have resulted in and may result in future retaliatory tariffs on U.S. goods and products and restrictions on exports to the U.S. Such developments have the potential to adversely impact the U.S. economy, our industry and the demand for our products. There remains uncertainty surrounding tariffs imposed by the U.S., China and other foreign countries, and trade relations between these nations, and we cannot predict whether these policies will continue, or if new policies will be enacted (which may restrict our ability to operate in China and other countries, or lead to other consequences, such as the need to comply with data localization requirements).</w:t>
      </w:r>
      <w:r>
        <w:rPr>
          <w:color w:val="000000"/>
        </w:rPr>
        <w:t xml:space="preserve"> </w:t>
      </w:r>
      <w:r>
        <w:rPr>
          <w:rFonts w:ascii="Times New Roman;serif" w:hAnsi="Times New Roman;serif"/>
          <w:b w:val="false"/>
          <w:color w:val="000000"/>
          <w:sz w:val="20"/>
        </w:rPr>
        <w:t>As a result, such changes could have a material adverse effect on our business, financial condition and results of operations.</w:t>
      </w:r>
    </w:p>
    <w:p>
      <w:pPr>
        <w:pStyle w:val="TextBody"/>
        <w:bidi w:val="0"/>
        <w:spacing w:lineRule="auto" w:line="288" w:before="20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Risks Relating to Our Debt</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Our indebtedness may impair our financial condition and operations and restrict our activities or our ability to satisfy our obligations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indebtedness could have important consequences for our business, including making it more difficult to satisfy our obligations, increasing our vulnerability to general adverse economic and industry conditions, limiting our flexibility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planning for, or reacting to, changes in our business and the industry in which we operate, and placing us at a competitive disadvantage compared to our peers.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ability to meet our payment and other obligations under our debt depends on our ability to generate sufficient cash flow in the future. We cannot be certain that our business will generate cash flow from operations, or that future borrowings will be available, or available on favorable terms, to us under our existing or any future credit facilities or otherwise, in an amount sufficient to enable us to meet our indebtedness obligations and to fund other liquidity needs. Certain of our borrowings are based upon variable interest rates, and, in the event of increases in interest rates, this could result in higher interest expense. We may need or want to refinance our existing debt or incur additional debt from time to time, and if we do so, we may be subject to less favorable terms.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are subject to certain covenants, including financial covenants and certain limitations on the incurrence of additional debt, the creation of liens, our ability to enter certain transactions, and other matters. These covenants could adversely affect our ability to finance our future operations or capital needs and pursue available business opportunities. Events beyond our control, including changes in general economic and business conditions, may affect our ability to meet required financial covenants. A breach of any of these covenants or any other restrictive covenants contained in the definitive documentation governing our indebtedness would result in a default or an event of default, which could result in all of our debt becoming immediately due and payable or require us to negotiate an amendment to financial or other covenants that could cause us to incur additional fees and expenses.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If new debt is added to our current debt levels, the risks described above could intensify.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4"/>
        </w:rPr>
      </w:pPr>
      <w:r>
        <w:rPr>
          <w:rFonts w:ascii="Times New Roman;serif" w:hAnsi="Times New Roman;serif"/>
          <w:b/>
          <w:color w:val="000000"/>
          <w:sz w:val="24"/>
        </w:rPr>
        <w:t>ITEM 1B. UNRESOLVED STAFF COMMENTS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4"/>
        </w:rPr>
      </w:pPr>
      <w:r>
        <w:rPr>
          <w:rFonts w:ascii="Times New Roman;serif" w:hAnsi="Times New Roman;serif"/>
          <w:b/>
          <w:color w:val="000000"/>
          <w:sz w:val="24"/>
        </w:rPr>
        <w:t>ITEM 1C. CYBERSECURITY</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Cybersecurity Risk Management and Strategy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maintain an information security program with a dedicated internal team that is tasked with leading enterprise-wide cybersecurity strategy, policy, standards, architecture, and processes. Our information security team is responsible for identifying, assessing, managing, and responding to cybersecurity risks, threats and incidents relating to the protection of our information assets, systems and operations. The information security team also oversees the detection, prevention, mitigation and remediation of cybersecurity incidents. Our information security team monitors emerging cyber threat activity to tune and upgrade our cyber capabilities.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information security program is managed by a dedicated Chief Information Security Officer ("CISO") who reports to our Chief Technology Officer, a member of our Executive Leadership Team ("ELT"). Our CISO has over 30 years of experience working in technology and cybersecurity at financial services companies, including serving as CISO of a major financial institution. The information security team is comprised of approximately 70 employees, with dedicated teams assigned to governance, risk and compliance, identity and access management, strategy and architecture, product security, and cyber incident detection and response. The team operates from FactSet locations around the world, including offices in the U.S., India, the Philippines and Europe.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FactSet's information security and governance framework is guided by International Organization for Standardization ("ISO") 27001 and System and Organization Control ("SOC") 2 Trust Service Criteria and the National Institute of Standards and Technology ("NIST") Cybersecurity Framework.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Cybersecurity risk management is integrated into our broader Enterprise Risk Management ("ERM") framework. FactSet's ERM program is designed to identify, prioritize and assess the most significant risks that could impact our ability to achieve our strategic business objectives. Our information security leadership team, in concert with our ERM team, reviews our cybersecurity risks each quarter through our enterprise risk assessment process.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FactSet's information security program is grounded in a threat-led risk-based approach. We continuously assess the maturity of our program against evolving threats and leading frameworks, and we identify and prioritize areas for enhancement, which we address through a multi-year cybersecurity strategy. Our information security team undertakes various activities to assess, identify and manage risks from cybersecurity threats, including managing security controls, conducting penetration testing, leading training and tabletop exercises (including an annual tabletop exercise with the ELT), and conducting internal and external vulnerability assessments. All FactSet's employees receive mandatory annual cybersecurity training; software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engineers receive training on secure software development best practices; and other ad hoc training is provided to employees on the latest cyber threat landscape. In addition, we also perform quarterly "phishing simulations" to test the effectiveness of our security training program.</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FactSet's information security team performs annual adversarial penetration testing with leading service providers, to mimic motivated threat actors, to assess the internal and external security posture of the Company. Findings from the penetration test and our internal and external vulnerability assessments are classified using a combination of scores and internal business metrics.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have processes to identify and mitigate cybersecurity risks stemming from our relationships with third parties, including protocols to assess vendors' cybersecurity programs before we engage them and to monitor vendors, once engaged, for ongoing compliance with our cybersecurity standards.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also have an incident response plan and scenario playbooks that provide procedures for how we can detect, respond to, and recover from potential cybersecurity incidents, which include processes designed to triage, assess severity, escalate, contain, investigate, and remediate any incident, as well as to comply with any applicable legal obligations and mitigate potential brand and reputational damage.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information security program is regularly evaluated by internal and external experts with the results of those reviews reported to senior management, including the ELT and the FactSet Audit Committee, and, where appropriate, the Board of Directors (the "Board"). We also actively engage with key vendors, industry participants, and intelligence and law enforcement communities as part of our continuing efforts to evaluate and enhance the effectiveness of our information security policies and procedures. These efforts inform our ongoing, multi-year program to mature our cybersecurity posture as the external threat environment evolves.</w:t>
      </w:r>
    </w:p>
    <w:p>
      <w:pPr>
        <w:pStyle w:val="TextBody"/>
        <w:bidi w:val="0"/>
        <w:spacing w:lineRule="auto" w:line="288" w:before="200" w:after="283"/>
        <w:jc w:val="both"/>
        <w:rPr/>
      </w:pPr>
      <w:r>
        <w:rPr>
          <w:rFonts w:ascii="Times New Roman;serif" w:hAnsi="Times New Roman;serif"/>
          <w:b w:val="false"/>
          <w:color w:val="000000"/>
          <w:sz w:val="20"/>
        </w:rPr>
        <w:t xml:space="preserve">The cybersecurity threat landscape is dynamic and volatile and requires significant investment. To date, risks from cybersecurity threats have not materially affected, and we do not believe are reasonably likely to materially affect, our business strategy, results of operations, or financial condition. As discussed more fully under Part I, Item 1A,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 this Annual Report on Form 10-K, although our processes are designed to help identify, detect, prevent, respond to, and mitigate cybersecurity risks, cybersecurity threats are rapidly evolving and we may not be able to anticipate, prevent, or detect all such attacks and there is no guarantee that a future cybersecurity incident could not materially affect our business strategy, results of operations, or financial condition.</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Cybersecurity Governance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Cybersecurity is an important part of the risk management focus of our Audit Committee, Board and ELT. The Audit Committee has primary oversight of our technology and cyber risk profile, cyber strategies and information security initiatives. The Audit Committee monitors management’s responsibility in the area of risk oversight, including cybersecurity risks. At each regular meeting, the Audit Committee receives updates from the CISO regarding trends, emergent risks to our technology infrastructure, major updates on security assessments and threat landscape, and the steps we are taking to respond to these matters. The full Board is kept informed through regular updates from the Audit Committee Chair and an annual update from the CISO, or as may otherwise be required.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has day-to-day responsibility for identifying risks facing FactSet, formulating risk management policies and procedures, managing our key risk exposures on a day-to-day basis and setting the right “tone at the top.” As part of this, the ERM and technology teams, including the CISO, also deliver regular updates to the ELT on cybersecurity and related matters.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color w:val="000000"/>
          <w:sz w:val="24"/>
        </w:rPr>
      </w:pPr>
      <w:r>
        <w:rPr>
          <w:rFonts w:ascii="Times New Roman;serif" w:hAnsi="Times New Roman;serif"/>
          <w:b/>
          <w:color w:val="000000"/>
          <w:sz w:val="24"/>
        </w:rPr>
        <w:t>ITEM 2. PROPERTIES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August 31, 2026, we have 33 offices worldwide, including our corporate headquarters located at 45 Glover Avenue, Norwalk, Connecticut where we occupy 91,718 square feet of office space. These offices include our data content collection offices located in India and the Philippines. We also have two data centers that support our technological infrastructure located in the U.S.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Refer to the table set forth below for the listing of our leased office space by geographic location. We believe our existing and planned leased space is suitable and adequate for our current business needs. We regularly review our real estate footprint to best support our operations and should our real estate needs increase, we believe additional space will be available.</w:t>
      </w:r>
    </w:p>
    <w:tbl>
      <w:tblPr>
        <w:tblW w:w="3298" w:type="dxa"/>
        <w:jc w:val="left"/>
        <w:tblInd w:w="0" w:type="dxa"/>
        <w:tblLayout w:type="fixed"/>
        <w:tblCellMar>
          <w:top w:w="28" w:type="dxa"/>
          <w:left w:w="28" w:type="dxa"/>
          <w:bottom w:w="28" w:type="dxa"/>
          <w:right w:w="28" w:type="dxa"/>
        </w:tblCellMar>
      </w:tblPr>
      <w:tblGrid>
        <w:gridCol w:w="390"/>
        <w:gridCol w:w="342"/>
        <w:gridCol w:w="347"/>
        <w:gridCol w:w="650"/>
        <w:gridCol w:w="650"/>
        <w:gridCol w:w="919"/>
      </w:tblGrid>
      <w:tr>
        <w:trPr/>
        <w:tc>
          <w:tcPr>
            <w:tcW w:w="39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Segment</w:t>
            </w:r>
          </w:p>
        </w:tc>
        <w:tc>
          <w:tcPr>
            <w:tcW w:w="22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Location</w:t>
            </w:r>
          </w:p>
        </w:tc>
      </w:tr>
      <w:tr>
        <w:trPr/>
        <w:tc>
          <w:tcPr>
            <w:tcW w:w="10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22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Austin, Texas</w:t>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Boston, Massachusetts</w:t>
            </w:r>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Charlotte, North Carolina</w:t>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Chicago, Illinois</w:t>
            </w:r>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Lakewood, Colorado</w:t>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York, New York</w:t>
            </w:r>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Norwalk, Connecticut</w:t>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Piscataway, New Jersey</w:t>
            </w:r>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Reston, Virginia</w:t>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San Francisco, California</w:t>
            </w:r>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Sao Paulo, Brazil</w:t>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Toronto, Canada</w:t>
            </w:r>
          </w:p>
        </w:tc>
      </w:tr>
      <w:tr>
        <w:trPr/>
        <w:tc>
          <w:tcPr>
            <w:tcW w:w="10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22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Amsterdam, the Netherlands</w:t>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Dubai, United Arab Emirates</w:t>
            </w:r>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Frankfurt, Germany</w:t>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Gothenburg, Sweden</w:t>
            </w:r>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London, United Kingdom</w:t>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Luxembourg, Luxembourg</w:t>
            </w:r>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Milan, Italy</w:t>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Paris, France</w:t>
            </w:r>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Riga, Latvia</w:t>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Sofia, Bulgaria</w:t>
            </w:r>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Stockholm, Sweden</w:t>
            </w:r>
          </w:p>
        </w:tc>
      </w:tr>
      <w:tr>
        <w:trPr/>
        <w:tc>
          <w:tcPr>
            <w:tcW w:w="107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221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Chennai, India</w:t>
            </w:r>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Hong Kong SAR, China</w:t>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Hyderabad, India</w:t>
            </w:r>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Manila, the Philippines</w:t>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Melbourne, Australia</w:t>
            </w:r>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Mumbai, India</w:t>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Shanghai, China</w:t>
            </w:r>
          </w:p>
        </w:tc>
      </w:tr>
      <w:tr>
        <w:trPr/>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Singapore</w:t>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Sydney, Australia</w:t>
            </w:r>
          </w:p>
        </w:tc>
      </w:tr>
      <w:tr>
        <w:trPr/>
        <w:tc>
          <w:tcPr>
            <w:tcW w:w="107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Tokyo, Japan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4"/>
        </w:rPr>
      </w:pPr>
      <w:r>
        <w:rPr>
          <w:rFonts w:ascii="Times New Roman;serif" w:hAnsi="Times New Roman;serif"/>
          <w:b/>
          <w:color w:val="000000"/>
          <w:sz w:val="24"/>
        </w:rPr>
        <w:t>ITEM 3. LEGAL PROCEEDINGS</w:t>
      </w:r>
    </w:p>
    <w:p>
      <w:pPr>
        <w:pStyle w:val="TextBody"/>
        <w:bidi w:val="0"/>
        <w:spacing w:lineRule="auto" w:line="288" w:before="200" w:after="283"/>
        <w:jc w:val="both"/>
        <w:rPr/>
      </w:pPr>
      <w:r>
        <w:rPr>
          <w:rFonts w:ascii="Times New Roman;serif" w:hAnsi="Times New Roman;serif"/>
          <w:b w:val="false"/>
          <w:color w:val="000000"/>
          <w:sz w:val="20"/>
        </w:rPr>
        <w:t xml:space="preserve">Refer to Part II, Item 8. Note 11,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in the Notes to the Consolidated Financial Statements included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left"/>
        <w:rPr>
          <w:rFonts w:ascii="Times New Roman;serif" w:hAnsi="Times New Roman;serif"/>
          <w:b/>
          <w:color w:val="000000"/>
          <w:sz w:val="24"/>
        </w:rPr>
      </w:pPr>
      <w:r>
        <w:rPr>
          <w:rFonts w:ascii="Times New Roman;serif" w:hAnsi="Times New Roman;serif"/>
          <w:b/>
          <w:color w:val="000000"/>
          <w:sz w:val="24"/>
        </w:rPr>
        <w:t>ITEM 4. MINE SAFETY DISCLOSURES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4"/>
        </w:rPr>
      </w:pPr>
      <w:r>
        <w:rPr>
          <w:rFonts w:ascii="Times New Roman;serif" w:hAnsi="Times New Roman;serif"/>
          <w:b/>
          <w:color w:val="000000"/>
          <w:sz w:val="24"/>
        </w:rPr>
        <w:t>ITEM 5. MARKET FOR REGISTRANT’S COMMON EQUITY, RELATED STOCKHOLDER MATTERS AND ISSUER PURCHASES OF EQUITY SECURITIES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Market Information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common stock is listed on the NYSE and Nasdaq under the symbol "FDS". </w:t>
      </w:r>
    </w:p>
    <w:p>
      <w:pPr>
        <w:pStyle w:val="TextBody"/>
        <w:bidi w:val="0"/>
        <w:spacing w:lineRule="auto" w:line="288" w:before="200" w:after="283"/>
        <w:jc w:val="both"/>
        <w:rPr/>
      </w:pPr>
      <w:r>
        <w:rPr>
          <w:rFonts w:ascii="Times New Roman;serif" w:hAnsi="Times New Roman;serif"/>
          <w:b w:val="false"/>
          <w:i/>
          <w:color w:val="000000"/>
          <w:sz w:val="20"/>
        </w:rPr>
        <w:t>Holders</w:t>
      </w:r>
      <w:r>
        <w:rPr>
          <w:color w:val="000000"/>
        </w:rPr>
        <w:t xml:space="preserve"> </w:t>
      </w:r>
      <w:r>
        <w:rPr>
          <w:rFonts w:ascii="Times New Roman;serif" w:hAnsi="Times New Roman;serif"/>
          <w:b w:val="false"/>
          <w:i/>
          <w:color w:val="000000"/>
          <w:sz w:val="20"/>
        </w:rPr>
        <w:t>of Record</w:t>
      </w:r>
      <w:r>
        <w:rPr>
          <w:color w:val="000000"/>
        </w:rPr>
        <w:t xml:space="preserve"> – </w:t>
      </w:r>
      <w:r>
        <w:rPr>
          <w:rFonts w:ascii="Times New Roman;serif" w:hAnsi="Times New Roman;serif"/>
          <w:b w:val="false"/>
          <w:color w:val="000000"/>
          <w:sz w:val="20"/>
        </w:rPr>
        <w:t xml:space="preserve">As of October 15, 2026, we had approximately 1,757 holders of record of our common stock. However, because many of our shares of common stock are held by brokers and other institutions on behalf of stockholders, we are unable to estimate the total number of stockholders represented by these record holders. </w:t>
      </w:r>
    </w:p>
    <w:p>
      <w:pPr>
        <w:pStyle w:val="TextBody"/>
        <w:bidi w:val="0"/>
        <w:spacing w:lineRule="auto" w:line="288" w:before="200" w:after="283"/>
        <w:jc w:val="both"/>
        <w:rPr/>
      </w:pPr>
      <w:r>
        <w:rPr>
          <w:rFonts w:ascii="Times New Roman;serif" w:hAnsi="Times New Roman;serif"/>
          <w:b w:val="false"/>
          <w:i/>
          <w:color w:val="000000"/>
          <w:sz w:val="20"/>
        </w:rPr>
        <w:t>Dividends</w:t>
      </w:r>
      <w:r>
        <w:rPr>
          <w:color w:val="000000"/>
        </w:rPr>
        <w:t xml:space="preserve"> </w:t>
      </w:r>
      <w:r>
        <w:rPr>
          <w:rFonts w:ascii="Times New Roman;serif" w:hAnsi="Times New Roman;serif"/>
          <w:b w:val="false"/>
          <w:color w:val="000000"/>
          <w:sz w:val="20"/>
        </w:rPr>
        <w:t xml:space="preserve">- We paid four quarterly dividends during fiscal 2026. In the third quarter of fiscal 2026, we increased our quarterly cash dividend from $1.10 to $1.16 per share. Future cash dividend payments are subject to final determination by our Board of Directors and will depend on our earnings, capital requirements, financial condition and other relevant factors. Refer to Part II, Item 8. Note 12, </w:t>
      </w:r>
      <w:r>
        <w:rPr>
          <w:rFonts w:ascii="Times New Roman;serif" w:hAnsi="Times New Roman;serif"/>
          <w:b w:val="false"/>
          <w:i/>
          <w:color w:val="000000"/>
          <w:sz w:val="20"/>
        </w:rPr>
        <w:t>Stockholders' Equity</w:t>
      </w:r>
      <w:r>
        <w:rPr>
          <w:rFonts w:ascii="Times New Roman;serif" w:hAnsi="Times New Roman;serif"/>
          <w:b w:val="false"/>
          <w:color w:val="000000"/>
          <w:sz w:val="20"/>
        </w:rPr>
        <w:t xml:space="preserve">, in the Notes to the Consolidated Financial Statements of this Annual Report on Form 10-K for more information on our dividends.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Recent Sales of Unregistered Securities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There were no sales of unregistered equity securities during fiscal 2026.</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month-to-month summary of the share repurchase activity during the three months ended August 31, 2026:</w:t>
      </w:r>
    </w:p>
    <w:tbl>
      <w:tblPr>
        <w:tblW w:w="10205" w:type="dxa"/>
        <w:jc w:val="left"/>
        <w:tblInd w:w="0" w:type="dxa"/>
        <w:tblLayout w:type="fixed"/>
        <w:tblCellMar>
          <w:top w:w="28" w:type="dxa"/>
          <w:left w:w="28" w:type="dxa"/>
          <w:bottom w:w="28" w:type="dxa"/>
          <w:right w:w="28" w:type="dxa"/>
        </w:tblCellMar>
      </w:tblPr>
      <w:tblGrid>
        <w:gridCol w:w="564"/>
        <w:gridCol w:w="412"/>
        <w:gridCol w:w="412"/>
        <w:gridCol w:w="646"/>
        <w:gridCol w:w="420"/>
        <w:gridCol w:w="424"/>
        <w:gridCol w:w="109"/>
        <w:gridCol w:w="109"/>
        <w:gridCol w:w="109"/>
        <w:gridCol w:w="229"/>
        <w:gridCol w:w="783"/>
        <w:gridCol w:w="118"/>
        <w:gridCol w:w="109"/>
        <w:gridCol w:w="109"/>
        <w:gridCol w:w="109"/>
        <w:gridCol w:w="856"/>
        <w:gridCol w:w="780"/>
        <w:gridCol w:w="782"/>
        <w:gridCol w:w="109"/>
        <w:gridCol w:w="109"/>
        <w:gridCol w:w="109"/>
        <w:gridCol w:w="494"/>
        <w:gridCol w:w="1937"/>
        <w:gridCol w:w="367"/>
      </w:tblGrid>
      <w:tr>
        <w:trPr/>
        <w:tc>
          <w:tcPr>
            <w:tcW w:w="56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287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Period</w:t>
            </w:r>
          </w:p>
        </w:tc>
        <w:tc>
          <w:tcPr>
            <w:tcW w:w="14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Total number</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of shares</w:t>
            </w:r>
          </w:p>
          <w:p>
            <w:pPr>
              <w:pStyle w:val="TableContents"/>
              <w:bidi w:val="0"/>
              <w:spacing w:lineRule="auto" w:line="240" w:before="0" w:after="0"/>
              <w:jc w:val="center"/>
              <w:rPr/>
            </w:pPr>
            <w:r>
              <w:rPr>
                <w:rFonts w:ascii="Times New Roman;serif" w:hAnsi="Times New Roman;serif"/>
                <w:b w:val="false"/>
                <w:color w:val="000000"/>
                <w:sz w:val="20"/>
              </w:rPr>
              <w:t>purchased</w:t>
            </w:r>
            <w:r>
              <w:rPr>
                <w:rFonts w:ascii="Times New Roman;serif" w:hAnsi="Times New Roman;serif"/>
                <w:b w:val="false"/>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Average</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price paid per</w:t>
            </w:r>
          </w:p>
          <w:p>
            <w:pPr>
              <w:pStyle w:val="TableContents"/>
              <w:bidi w:val="0"/>
              <w:spacing w:lineRule="auto" w:line="240" w:before="0" w:after="0"/>
              <w:jc w:val="center"/>
              <w:rPr/>
            </w:pPr>
            <w:r>
              <w:rPr>
                <w:rFonts w:ascii="Times New Roman;serif" w:hAnsi="Times New Roman;serif"/>
                <w:b w:val="false"/>
                <w:color w:val="000000"/>
                <w:sz w:val="20"/>
              </w:rPr>
              <w:t>share</w:t>
            </w:r>
            <w:r>
              <w:rPr>
                <w:rFonts w:ascii="Times New Roman;serif" w:hAnsi="Times New Roman;serif"/>
                <w:b w:val="false"/>
                <w:color w:val="000000"/>
                <w:sz w:val="13"/>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Total number of shares purchased as part of</w:t>
            </w:r>
          </w:p>
          <w:p>
            <w:pPr>
              <w:pStyle w:val="TableContents"/>
              <w:bidi w:val="0"/>
              <w:spacing w:lineRule="auto" w:line="240" w:before="0" w:after="0"/>
              <w:jc w:val="center"/>
              <w:rPr/>
            </w:pPr>
            <w:r>
              <w:rPr>
                <w:rFonts w:ascii="Times New Roman;serif" w:hAnsi="Times New Roman;serif"/>
                <w:b w:val="false"/>
                <w:color w:val="000000"/>
                <w:sz w:val="20"/>
              </w:rPr>
              <w:t>publicly announced plans or programs</w:t>
            </w:r>
            <w:r>
              <w:rPr>
                <w:rFonts w:ascii="Times New Roman;serif" w:hAnsi="Times New Roman;serif"/>
                <w:b w:val="false"/>
                <w:color w:val="000000"/>
                <w:sz w:val="13"/>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Approximate dollar value of shares that may yet be</w:t>
            </w:r>
          </w:p>
          <w:p>
            <w:pPr>
              <w:pStyle w:val="TableContents"/>
              <w:bidi w:val="0"/>
              <w:spacing w:lineRule="auto" w:line="240" w:before="0" w:after="0"/>
              <w:jc w:val="center"/>
              <w:rPr/>
            </w:pPr>
            <w:r>
              <w:rPr>
                <w:rFonts w:ascii="Times New Roman;serif" w:hAnsi="Times New Roman;serif"/>
                <w:b w:val="false"/>
                <w:color w:val="000000"/>
                <w:sz w:val="20"/>
              </w:rPr>
              <w:t>purchased under the plans or programs</w:t>
            </w:r>
            <w:r>
              <w:rPr>
                <w:rFonts w:ascii="Times New Roman;serif" w:hAnsi="Times New Roman;serif"/>
                <w:b w:val="false"/>
                <w:color w:val="000000"/>
                <w:sz w:val="13"/>
              </w:rPr>
              <w:t>(3)</w:t>
            </w:r>
          </w:p>
        </w:tc>
      </w:tr>
      <w:tr>
        <w:trPr/>
        <w:tc>
          <w:tcPr>
            <w:tcW w:w="138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2026</w:t>
            </w:r>
          </w:p>
        </w:tc>
        <w:tc>
          <w:tcPr>
            <w:tcW w:w="10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272,927 </w:t>
            </w:r>
          </w:p>
        </w:tc>
        <w:tc>
          <w:tcPr>
            <w:tcW w:w="4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237.60 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272,927 </w:t>
            </w:r>
          </w:p>
        </w:tc>
        <w:tc>
          <w:tcPr>
            <w:tcW w:w="7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429,152 </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2026</w:t>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196,850 </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252.12 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196,850 </w:t>
            </w:r>
          </w:p>
        </w:tc>
        <w:tc>
          <w:tcPr>
            <w:tcW w:w="7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379,521 </w:t>
            </w:r>
          </w:p>
        </w:tc>
        <w:tc>
          <w:tcPr>
            <w:tcW w:w="3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2026</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84,264 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82,287 </w:t>
            </w:r>
          </w:p>
        </w:tc>
        <w:tc>
          <w:tcPr>
            <w:tcW w:w="7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356,039 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554,041 </w:t>
            </w:r>
          </w:p>
        </w:tc>
        <w:tc>
          <w:tcPr>
            <w:tcW w:w="42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552,064 </w:t>
            </w:r>
          </w:p>
        </w:tc>
        <w:tc>
          <w:tcPr>
            <w:tcW w:w="7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(1)Includes 552,064 shares repurchased under the stock repurchase program, as well as 1,977 shares repurchased to satisfy withholding tax obligations due upon the vesting of stock-based awards. </w:t>
      </w:r>
    </w:p>
    <w:p>
      <w:pPr>
        <w:pStyle w:val="TextBody"/>
        <w:bidi w:val="0"/>
        <w:spacing w:lineRule="auto" w:line="288" w:before="60" w:after="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(2)Amount does not reflect the impact of any excise tax imposed on corporate stock repurchases required under the Inflation Reduction Act of 2022.</w:t>
      </w:r>
    </w:p>
    <w:p>
      <w:pPr>
        <w:pStyle w:val="TextBody"/>
        <w:bidi w:val="0"/>
        <w:spacing w:lineRule="auto" w:line="288" w:before="60" w:after="60"/>
        <w:ind w:left="0" w:right="0" w:hanging="360"/>
        <w:jc w:val="both"/>
        <w:rPr/>
      </w:pPr>
      <w:r>
        <w:rPr>
          <w:rFonts w:ascii="Times New Roman;serif" w:hAnsi="Times New Roman;serif"/>
          <w:b w:val="false"/>
          <w:color w:val="000000"/>
          <w:sz w:val="18"/>
        </w:rPr>
        <w:t xml:space="preserve">(3)On June 17, 2025, our Board of Directors authorized up to $400 million for share repurchases on or after September 1, 2025. On December 16, 2025, our Board of Directors approved an additional $600 million in share repurchase authority, which was available immediately with no expiration date. The additional authorization also removed the expiration date from the June 17, 2025 authorization. As of August 31, 2026, we had $356.0 million that remained authorized under our share repurchase program. Repurchases may be made from time-to-time in the open market or via privately negotiated transactions, subject to market conditions. There is no defined number of shares to be repurchased over a specified timeframe through the life of our share repurchase program. It is expected that share repurchases will be paid using existing and future cash generated by operations. Refer to Part II, Item 7. </w:t>
      </w:r>
      <w:r>
        <w:rPr>
          <w:rFonts w:ascii="Times New Roman;serif" w:hAnsi="Times New Roman;serif"/>
          <w:b w:val="false"/>
          <w:i/>
          <w:color w:val="000000"/>
          <w:sz w:val="18"/>
        </w:rPr>
        <w:t>Management's Discussion and Analysis of Financial Condition and Results of Operations, Liquidity and Capital Resources</w:t>
      </w:r>
      <w:r>
        <w:rPr>
          <w:rFonts w:ascii="Times New Roman;serif" w:hAnsi="Times New Roman;serif"/>
          <w:b w:val="false"/>
          <w:color w:val="000000"/>
          <w:sz w:val="18"/>
        </w:rPr>
        <w:t>, of this Annual Report on Form 10-K for further discussion on our share repurchase program.</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Securities Authorized for Issuance under Equity Compensation Plans </w:t>
      </w:r>
    </w:p>
    <w:p>
      <w:pPr>
        <w:pStyle w:val="TextBody"/>
        <w:bidi w:val="0"/>
        <w:spacing w:lineRule="auto" w:line="288" w:before="180" w:after="283"/>
        <w:jc w:val="both"/>
        <w:rPr/>
      </w:pPr>
      <w:r>
        <w:rPr>
          <w:rFonts w:ascii="Times New Roman;serif" w:hAnsi="Times New Roman;serif"/>
          <w:b w:val="false"/>
          <w:color w:val="000000"/>
          <w:sz w:val="20"/>
        </w:rPr>
        <w:t xml:space="preserve">Refer to Part III, Item 12. </w:t>
      </w:r>
      <w:r>
        <w:rPr>
          <w:rFonts w:ascii="Times New Roman;serif" w:hAnsi="Times New Roman;serif"/>
          <w:b w:val="false"/>
          <w:i/>
          <w:color w:val="000000"/>
          <w:sz w:val="20"/>
        </w:rPr>
        <w:t>Security Ownership of Certain Beneficial Owners and Management and Related Stockholder Matters,</w:t>
      </w:r>
      <w:r>
        <w:rPr>
          <w:color w:val="000000"/>
        </w:rPr>
        <w:t xml:space="preserve"> </w:t>
      </w:r>
      <w:r>
        <w:rPr>
          <w:rFonts w:ascii="Times New Roman;serif" w:hAnsi="Times New Roman;serif"/>
          <w:b w:val="false"/>
          <w:color w:val="000000"/>
          <w:sz w:val="20"/>
        </w:rPr>
        <w:t>of this Annual Report on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00"/>
        <w:jc w:val="left"/>
        <w:rPr/>
      </w:pPr>
      <w:r>
        <w:rPr>
          <w:rFonts w:ascii="Times New Roman;serif" w:hAnsi="Times New Roman;serif"/>
          <w:b/>
          <w:color w:val="000000"/>
          <w:sz w:val="20"/>
        </w:rPr>
        <w:t>Stock</w:t>
      </w:r>
      <w:r>
        <w:rPr>
          <w:color w:val="000000"/>
        </w:rPr>
        <w:t xml:space="preserve"> </w:t>
      </w:r>
      <w:r>
        <w:rPr>
          <w:rFonts w:ascii="Times New Roman;serif" w:hAnsi="Times New Roman;serif"/>
          <w:b/>
          <w:color w:val="000000"/>
          <w:sz w:val="20"/>
        </w:rPr>
        <w:t>Performance</w:t>
      </w:r>
      <w:r>
        <w:rPr>
          <w:color w:val="000000"/>
        </w:rPr>
        <w:t xml:space="preserve"> </w:t>
      </w:r>
      <w:r>
        <w:rPr>
          <w:rFonts w:ascii="Times New Roman;serif" w:hAnsi="Times New Roman;serif"/>
          <w:b/>
          <w:color w:val="000000"/>
          <w:sz w:val="20"/>
        </w:rPr>
        <w:t>Graph</w:t>
      </w:r>
    </w:p>
    <w:p>
      <w:pPr>
        <w:pStyle w:val="TextBody"/>
        <w:bidi w:val="0"/>
        <w:spacing w:lineRule="auto" w:line="288" w:before="18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annual changes for the five-year period shown in the graph below assume $100 had been invested in our common stock, the S&amp;P 500 Index, the Dow Jones U.S. Financial Services Index and the S&amp;P 500 Financial Exchange and Data Index on August 31, 2021.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total cumulative dollar returns shown on the graph represent the value that such investments would have had on August 31, 2026. Stockholder returns over the indicated period are based on historical data and should not be considered indicative of future stockholder returns. </w:t>
      </w:r>
    </w:p>
    <w:p>
      <w:pPr>
        <w:pStyle w:val="TextBody"/>
        <w:bidi w:val="0"/>
        <w:spacing w:before="200" w:after="283"/>
        <w:jc w:val="both"/>
        <w:rPr/>
      </w:pPr>
      <w:r>
        <w:rPr/>
        <w:drawing>
          <wp:inline distT="0" distB="0" distL="0" distR="0">
            <wp:extent cx="6667500" cy="3838575"/>
            <wp:effectExtent l="0" t="0" r="0" b="0"/>
            <wp:docPr id="2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 descr=""/>
                    <pic:cNvPicPr>
                      <a:picLocks noChangeAspect="1" noChangeArrowheads="1"/>
                    </pic:cNvPicPr>
                  </pic:nvPicPr>
                  <pic:blipFill>
                    <a:blip r:embed="rId3"/>
                    <a:stretch>
                      <a:fillRect/>
                    </a:stretch>
                  </pic:blipFill>
                  <pic:spPr bwMode="auto">
                    <a:xfrm>
                      <a:off x="0" y="0"/>
                      <a:ext cx="6667500" cy="3838575"/>
                    </a:xfrm>
                    <a:prstGeom prst="rect">
                      <a:avLst/>
                    </a:prstGeom>
                  </pic:spPr>
                </pic:pic>
              </a:graphicData>
            </a:graphic>
          </wp:inline>
        </w:drawing>
      </w:r>
      <w:bookmarkStart w:id="1" w:name="i-2"/>
      <w:bookmarkEnd w:id="1"/>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4"/>
        </w:rPr>
      </w:pPr>
      <w:r>
        <w:rPr>
          <w:rFonts w:ascii="Times New Roman;serif" w:hAnsi="Times New Roman;serif"/>
          <w:b/>
          <w:color w:val="000000"/>
          <w:sz w:val="24"/>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 w:after="283"/>
        <w:jc w:val="left"/>
        <w:rPr>
          <w:rFonts w:ascii="Times New Roman;serif" w:hAnsi="Times New Roman;serif"/>
          <w:b/>
          <w:color w:val="000000"/>
          <w:sz w:val="24"/>
        </w:rPr>
      </w:pPr>
      <w:r>
        <w:rPr>
          <w:rFonts w:ascii="Times New Roman;serif" w:hAnsi="Times New Roman;serif"/>
          <w:b/>
          <w:color w:val="000000"/>
          <w:sz w:val="24"/>
        </w:rPr>
        <w:t>ITEM 7. MANAGEMENT’S DISCUSSION AND ANALYSIS OF FINANCIAL CONDITION AND RESULTS OF OPERATIONS</w:t>
      </w:r>
    </w:p>
    <w:p>
      <w:pPr>
        <w:pStyle w:val="TextBody"/>
        <w:bidi w:val="0"/>
        <w:spacing w:lineRule="auto" w:line="288" w:before="200" w:after="283"/>
        <w:jc w:val="both"/>
        <w:rPr/>
      </w:pPr>
      <w:r>
        <w:rPr>
          <w:rFonts w:ascii="Times New Roman;serif" w:hAnsi="Times New Roman;serif"/>
          <w:b w:val="false"/>
          <w:color w:val="000000"/>
          <w:sz w:val="20"/>
        </w:rPr>
        <w:t xml:space="preserve">This Management’s Discussion and Analysis of Financial Condition and Results of Operations ("MD&amp;A") should be read in conjunction with the Consolidated Financial Statements and related Notes included in Part II, Item 8. </w:t>
      </w:r>
      <w:r>
        <w:rPr>
          <w:rFonts w:ascii="Times New Roman;serif" w:hAnsi="Times New Roman;serif"/>
          <w:b w:val="false"/>
          <w:i/>
          <w:color w:val="000000"/>
          <w:sz w:val="20"/>
        </w:rPr>
        <w:t>Financial Statements and Supplementary Data</w:t>
      </w:r>
      <w:r>
        <w:rPr>
          <w:rFonts w:ascii="Times New Roman;serif" w:hAnsi="Times New Roman;serif"/>
          <w:b w:val="false"/>
          <w:color w:val="000000"/>
          <w:sz w:val="20"/>
        </w:rPr>
        <w:t xml:space="preserve">, of this Annual Report on Form 10-K, our Current Reports on Form 8-K and our other filings with the Securities and Exchange Commission. For a similar detailed discussion comparing fiscal 2025 and 2024, refer to Part II, Item 7.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 xml:space="preserve">within our Annual Report on Form 10-K for the fiscal year ended August 31, 2025. This discussion contains forward-looking statements that involve risks and uncertainties. Our actual results could differ materially from those discussed below. Factors that could cause such differences include, but are not limited to, those identified below and those discussed in Part I, Item 1A. </w:t>
      </w:r>
      <w:r>
        <w:rPr>
          <w:rFonts w:ascii="Times New Roman;serif" w:hAnsi="Times New Roman;serif"/>
          <w:b w:val="false"/>
          <w:i/>
          <w:color w:val="000000"/>
          <w:sz w:val="20"/>
        </w:rPr>
        <w:t xml:space="preserve">Risk Factors </w:t>
      </w:r>
      <w:r>
        <w:rPr>
          <w:rFonts w:ascii="Times New Roman;serif" w:hAnsi="Times New Roman;serif"/>
          <w:b w:val="false"/>
          <w:color w:val="000000"/>
          <w:sz w:val="20"/>
        </w:rPr>
        <w:t xml:space="preserve">of this Annual Report on Form 10-K.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MD&amp;A is designed to provide a reader of our financial statements with a narrative from the perspective of our management on our financial condition, results of operations, liquidity and certain other factors that may affect our future results. Our MD&amp;A is presented in the following sections: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Executive Overview</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Annual Subscription Value ("ASV")</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Client and User Additions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Employee Headcount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Results of Operations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Non-GAAP Financial Measures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Liquidity and Capital Resources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Off-Balance Sheet Arrangements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Foreign Currency Exposure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Critical Accounting Estimates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New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4"/>
        </w:rPr>
      </w:pPr>
      <w:r>
        <w:rPr>
          <w:rFonts w:ascii="Times New Roman;serif" w:hAnsi="Times New Roman;serif"/>
          <w:b/>
          <w:color w:val="000000"/>
          <w:sz w:val="24"/>
        </w:rPr>
        <w:t>Executive Overview</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FactSet is a global data and AI solutions provider to the financial markets with open and flexible technologies that deliver financial intelligence to finance professionals worldwide.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platform delivers expansive data, sophisticated analytics, and flexible, AI-powered technologies used by global financial professionals to power their critical investment, dealmaking and advisory workflows. As of August 31, 2026, we had more than 9,200 clients and over 260,000 professionals using our solutions, including institutional asset managers, bankers, wealth managers, asset owners, partners, hedge fund professionals, corporate users, private equity and venture capital professionals, and market infrastructure participants. Our revenues are primarily derived from subscriptions to our multi-asset class data and solutions that include workstations, portfolio analytics, enterprise data solutions, and AI solutions. We also offer managed services that operate as an extension of our clients' internal teams to support data, performance, risk and reporting, and AI-enabled workflows.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drive our business based on a detailed understanding of our clients’ workflows. We provide financial data and market intelligence on securities, companies, industries and people to enable our clients to research advisory, dealmaking and investment ideas and analyze, monitor and manage their portfolios. Our solutions for institutional buyside clients span the investment lifecycle of investment research, portfolio construction and analysis, trade execution, performance measurement, risk management and reporting. Our banking solutions facilitate company and market research, enabling clients to perform fundamental analysis, generate ideas, and build and distribute presentations through proprietary and third-party databases with global coverage of public and private markets, granular industry metrics, and deep historical data. Our wealth solutions support home office, advisory, and client engagement workflows, providing financial advisors with tools to monitor markets and their book of business, prospect for new clients, and generate proposals, while enhancing existing client relationships and improving firm-wide efficiency across the investment portfolio lifecycle. We provide open and flexible data and technology offerings, including a configurable desktop and mobile platform, comprehensive data solutions, cloud-based digital solutions, APIs, and MCP servers. AI is embedded throughout these offerings to enhance data discovery, automate routine workflows and improve the speed and accuracy of client insights. Our platform and solutions are supported by our client success and service teams.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our business through three segments: the Americas, EMEA and Asia Pacific. Within each segment, we offer a range of products, data, managed services, and analytical applications which can be tailored to a wide range of workflows. Refer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pPr>
      <w:r>
        <w:rPr>
          <w:rFonts w:ascii="Times New Roman;serif" w:hAnsi="Times New Roman;serif"/>
          <w:b w:val="false"/>
          <w:color w:val="000000"/>
          <w:sz w:val="20"/>
        </w:rPr>
        <w:t xml:space="preserve">Part I, Item 1. </w:t>
      </w:r>
      <w:r>
        <w:rPr>
          <w:rFonts w:ascii="Times New Roman;serif" w:hAnsi="Times New Roman;serif"/>
          <w:b w:val="false"/>
          <w:i/>
          <w:color w:val="000000"/>
          <w:sz w:val="20"/>
        </w:rPr>
        <w:t xml:space="preserve">Business - Business Overview </w:t>
      </w:r>
      <w:r>
        <w:rPr>
          <w:rFonts w:ascii="Times New Roman;serif" w:hAnsi="Times New Roman;serif"/>
          <w:b w:val="false"/>
          <w:color w:val="000000"/>
          <w:sz w:val="20"/>
        </w:rPr>
        <w:t>and</w:t>
      </w:r>
      <w:r>
        <w:rPr>
          <w:color w:val="000000"/>
        </w:rPr>
        <w:t xml:space="preserve"> </w:t>
      </w:r>
      <w:r>
        <w:rPr>
          <w:rFonts w:ascii="Times New Roman;serif" w:hAnsi="Times New Roman;serif"/>
          <w:b w:val="false"/>
          <w:i/>
          <w:color w:val="000000"/>
          <w:sz w:val="20"/>
        </w:rPr>
        <w:t>Business Strategy</w:t>
      </w:r>
      <w:r>
        <w:rPr>
          <w:color w:val="000000"/>
        </w:rPr>
        <w:t xml:space="preserve"> </w:t>
      </w:r>
      <w:r>
        <w:rPr>
          <w:rFonts w:ascii="Times New Roman;serif" w:hAnsi="Times New Roman;serif"/>
          <w:b w:val="false"/>
          <w:color w:val="000000"/>
          <w:sz w:val="20"/>
        </w:rPr>
        <w:t xml:space="preserve">and Part II, Item 8. Note 16, </w:t>
      </w:r>
      <w:r>
        <w:rPr>
          <w:rFonts w:ascii="Times New Roman;serif" w:hAnsi="Times New Roman;serif"/>
          <w:b w:val="false"/>
          <w:i/>
          <w:color w:val="000000"/>
          <w:sz w:val="20"/>
        </w:rPr>
        <w:t>Segment Information</w:t>
      </w:r>
      <w:r>
        <w:rPr>
          <w:rFonts w:ascii="Times New Roman;serif" w:hAnsi="Times New Roman;serif"/>
          <w:b w:val="false"/>
          <w:color w:val="000000"/>
          <w:sz w:val="20"/>
        </w:rPr>
        <w:t xml:space="preserve">, in the Notes to the Consolidated Financial Statements included in this Annual Report on Form 10-K for more information. </w:t>
      </w:r>
    </w:p>
    <w:p>
      <w:pPr>
        <w:pStyle w:val="TextBody"/>
        <w:bidi w:val="0"/>
        <w:spacing w:lineRule="auto" w:line="288" w:before="200" w:after="200"/>
        <w:jc w:val="both"/>
        <w:rPr>
          <w:rFonts w:ascii="Times New Roman;serif" w:hAnsi="Times New Roman;serif"/>
          <w:b/>
          <w:color w:val="000000"/>
          <w:sz w:val="20"/>
        </w:rPr>
      </w:pPr>
      <w:r>
        <w:rPr>
          <w:rFonts w:ascii="Times New Roman;serif" w:hAnsi="Times New Roman;serif"/>
          <w:b/>
          <w:color w:val="000000"/>
          <w:sz w:val="20"/>
        </w:rPr>
        <w:t>Fiscal 2026 in Review</w:t>
      </w:r>
    </w:p>
    <w:p>
      <w:pPr>
        <w:pStyle w:val="TextBody"/>
        <w:bidi w:val="0"/>
        <w:spacing w:lineRule="auto" w:line="288" w:before="200" w:after="283"/>
        <w:jc w:val="both"/>
        <w:rPr/>
      </w:pPr>
      <w:r>
        <w:rPr>
          <w:rFonts w:ascii="Times New Roman;serif" w:hAnsi="Times New Roman;serif"/>
          <w:b w:val="false"/>
          <w:color w:val="000000"/>
          <w:sz w:val="20"/>
        </w:rPr>
        <w:t xml:space="preserve">Revenues totaled $2,476.3 million for fiscal 2026, an increase of 6.7% compared to the prior year, driven by a corresponding 6.7% increase in organic revenues. Revenues increased in all our segments, mainly in the Americas. Revenues increased primarily from workstations, data solutions and, to a lesser extent, portfolio management and trading solutions. Refer to Part II, Item 7. </w:t>
      </w:r>
      <w:r>
        <w:rPr>
          <w:rFonts w:ascii="Times New Roman;serif" w:hAnsi="Times New Roman;serif"/>
          <w:b w:val="false"/>
          <w:i/>
          <w:color w:val="000000"/>
          <w:sz w:val="20"/>
        </w:rPr>
        <w:t xml:space="preserve">Management's Discussion and Analysis of Financial Condition and Results of Operations, Non-GAAP Financial Measures, </w:t>
      </w:r>
      <w:r>
        <w:rPr>
          <w:rFonts w:ascii="Times New Roman;serif" w:hAnsi="Times New Roman;serif"/>
          <w:b w:val="false"/>
          <w:color w:val="000000"/>
          <w:sz w:val="20"/>
        </w:rPr>
        <w:t>of this Annual Report on Form 10-K for a definition of organic revenues and a reconciliation between revenues and organic revenues.</w:t>
      </w:r>
    </w:p>
    <w:p>
      <w:pPr>
        <w:pStyle w:val="TextBody"/>
        <w:bidi w:val="0"/>
        <w:spacing w:lineRule="auto" w:line="288" w:before="200" w:after="283"/>
        <w:jc w:val="both"/>
        <w:rPr/>
      </w:pPr>
      <w:r>
        <w:rPr>
          <w:rFonts w:ascii="Times New Roman;serif" w:hAnsi="Times New Roman;serif"/>
          <w:b w:val="false"/>
          <w:color w:val="000000"/>
          <w:sz w:val="20"/>
        </w:rPr>
        <w:t xml:space="preserve">As of August 31, 2026, organic annual subscription value ("Organic ASV") totaled $2,568.2 million, an increase of 7.0% over the prior year. Organic ASV increased in all our segments, with the majority of the increase in the Americas. Organic ASV growth was mainly driven by data solutions and, to a lesser extent, workstations and middle office solutions. Refer to Part II, Item 7. </w:t>
      </w:r>
      <w:r>
        <w:rPr>
          <w:rFonts w:ascii="Times New Roman;serif" w:hAnsi="Times New Roman;serif"/>
          <w:b w:val="false"/>
          <w:i/>
          <w:color w:val="000000"/>
          <w:sz w:val="20"/>
        </w:rPr>
        <w:t xml:space="preserve">Management's Discussion and Analysis of Financial Condition and Results of Operations, Annual Subscription Value, </w:t>
      </w:r>
      <w:r>
        <w:rPr>
          <w:rFonts w:ascii="Times New Roman;serif" w:hAnsi="Times New Roman;serif"/>
          <w:b w:val="false"/>
          <w:color w:val="000000"/>
          <w:sz w:val="20"/>
        </w:rPr>
        <w:t>of this Annual Report on Form 10-K for the definition of Organic ASV.</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Operating margin was 28.3% for fiscal 2026, compared with 32.2% for fiscal 2025. This decrease was primarily driven by higher operating expenses as a percentage of revenues, mainly due to an increase in employee compensation costs, primarily driven by restructuring charges, higher variable compensation costs and one-time CEO compensation costs pursuant to the terms of his employment agreement, partially offset by growth in revenues.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Net income for fiscal 2026 was $533.5 million, a decrease of 10.6% from the prior year. Diluted earnings per common share ("Diluted EPS") for fiscal 2026 was $14.57, a decrease of 6.3% compared with the prior year. These decreases were primarily driven by higher operating expenses, including non-recurring items, partially offset by growth in revenues. The decrease in Diluted EPS was also partially offset by a reduction in the diluted weighted average common shares outstanding of approximately 1.8 million shares.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We returned $808.1 million to our stockholders in the form of share repurchases and dividends during fiscal 2026.</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August 31, 2026, our client and user counts were 9,258 and 260,671, respectively. Our employee headcount was 12,444 as of August 31, 2026, a decrease of 2.8% compared to the prior year, primarily due to restructuring and reduced hiring, reflecting net headcount reductions of 5.5% in the Americas, 2.3% in Asia Pacific and 1.2% in EMEA.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4"/>
        </w:rPr>
      </w:pPr>
      <w:r>
        <w:rPr>
          <w:rFonts w:ascii="Times New Roman;serif" w:hAnsi="Times New Roman;serif"/>
          <w:b/>
          <w:color w:val="000000"/>
          <w:sz w:val="24"/>
        </w:rPr>
        <w:t>Annual Subscription Value ("ASV")</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ASV reflects our ability to grow recurring revenues and generate positive cash flows, and thus serves as a key indicator of the successful execution of our business strategy.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ASV at any point in time represents our forward-looking revenues for the next 12 months from all recurring services currently being supplied to clients.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Organic ASV at any point in time equals our ASV excluding ASV from acquisitions and the comparable impact of dispositions and discontinued lines of business, effected within the last 12 months, and the impact of foreign currency movements.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Organic ASV</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calculation of Organic ASV as of August 31, 2026. With proper notice provided as contractually required, our clients can add to, delete portions of, or terminate service, subject to certain limitations. </w:t>
      </w:r>
    </w:p>
    <w:tbl>
      <w:tblPr>
        <w:tblW w:w="5413" w:type="dxa"/>
        <w:jc w:val="left"/>
        <w:tblInd w:w="0" w:type="dxa"/>
        <w:tblLayout w:type="fixed"/>
        <w:tblCellMar>
          <w:top w:w="28" w:type="dxa"/>
          <w:left w:w="28" w:type="dxa"/>
          <w:bottom w:w="28" w:type="dxa"/>
          <w:right w:w="28" w:type="dxa"/>
        </w:tblCellMar>
      </w:tblPr>
      <w:tblGrid>
        <w:gridCol w:w="1251"/>
        <w:gridCol w:w="1097"/>
        <w:gridCol w:w="1101"/>
        <w:gridCol w:w="320"/>
        <w:gridCol w:w="1164"/>
        <w:gridCol w:w="480"/>
      </w:tblGrid>
      <w:tr>
        <w:trPr/>
        <w:tc>
          <w:tcPr>
            <w:tcW w:w="125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 amounts in millions)</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of August 31, 2026</w:t>
            </w:r>
          </w:p>
        </w:tc>
      </w:tr>
      <w:tr>
        <w:trPr/>
        <w:tc>
          <w:tcPr>
            <w:tcW w:w="34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ASV</w:t>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2,565.2 </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Impact from foreign currency movements</w:t>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Organic ASV</w:t>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2,568.2 </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Organic ASV annual growth rate</w:t>
            </w:r>
            <w:r>
              <w:rPr>
                <w:rFonts w:ascii="Times New Roman;serif" w:hAnsi="Times New Roman;serif"/>
                <w:b w:val="false"/>
                <w:i/>
                <w:color w:val="000000"/>
                <w:sz w:val="13"/>
              </w:rPr>
              <w:t>(1)</w:t>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7.0 </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bl>
    <w:p>
      <w:pPr>
        <w:pStyle w:val="TextBody"/>
        <w:bidi w:val="0"/>
        <w:spacing w:lineRule="auto" w:line="288" w:before="60" w:after="6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(1) For comparability purposes, in calculating the organic ASV annual growth rate, the prior year excludes ASV from dispositions and discontinued lines of business effected within the last 12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60"/>
        <w:jc w:val="both"/>
        <w:rPr>
          <w:rFonts w:ascii="Times New Roman;serif" w:hAnsi="Times New Roman;serif"/>
          <w:b w:val="false"/>
          <w:color w:val="000000"/>
          <w:sz w:val="20"/>
        </w:rPr>
      </w:pPr>
      <w:r>
        <w:rPr>
          <w:rFonts w:ascii="Times New Roman;serif" w:hAnsi="Times New Roman;serif"/>
          <w:b w:val="false"/>
          <w:color w:val="000000"/>
          <w:sz w:val="20"/>
        </w:rPr>
        <w:t xml:space="preserve">Organic ASV increased in all our segments, with the majority of the increase in the Americas. The increase in Organic ASV was primarily driven by data solutions and, to a lesser extent, workstations and middle office solutions. This increase is derived from higher net sales to existing clients and, to a lesser extent, sales to new clients. </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Segment ASV</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August 31, 2026, ASV from the Americas represented 65% of total ASV and was $1,678.2 million, an increase from $1,570.1 million as of August 31, 2025. Americas Organic ASV was also $1,678.2 million as of August 31, 2026, a 7.1% increase from the prior year. The Organic ASV increase in the Americas was primarily driven by data solutions and workstations.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August 31, 2026, ASV from EMEA represented 24% of total ASV and was $620.9 million, an increase from $591.6 million as of August 31, 2025. EMEA Organic ASV was $623.6 million as of August 31, 2026, a 5.2% increase from the prior year. The EMEA Organic ASV increase was mainly from data solutions and, to a lesser extent, workstations.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August 31, 2026, ASV from Asia Pacific represented 11% of total ASV and was $266.1 million, an increase from $243.9 million as of August 31, 2025. Asia Pacific Organic ASV was $266.4 million as of August 31, 2026, a 10.6% increase from the prior year. The Asia Pacific Organic ASV increase was primarily driven by data solutions, workstations and middle office solutions. </w:t>
      </w:r>
    </w:p>
    <w:p>
      <w:pPr>
        <w:pStyle w:val="TextBody"/>
        <w:bidi w:val="0"/>
        <w:spacing w:lineRule="auto" w:line="288" w:before="200" w:after="283"/>
        <w:jc w:val="both"/>
        <w:rPr>
          <w:rFonts w:ascii="Times New Roman;serif" w:hAnsi="Times New Roman;serif"/>
          <w:b/>
          <w:color w:val="000000"/>
          <w:sz w:val="24"/>
        </w:rPr>
      </w:pPr>
      <w:r>
        <w:rPr>
          <w:rFonts w:ascii="Times New Roman;serif" w:hAnsi="Times New Roman;serif"/>
          <w:b/>
          <w:color w:val="000000"/>
          <w:sz w:val="24"/>
        </w:rPr>
        <w:t>Client and User Additions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table below presents our total clients and users:</w:t>
      </w:r>
    </w:p>
    <w:tbl>
      <w:tblPr>
        <w:tblW w:w="4001" w:type="dxa"/>
        <w:jc w:val="left"/>
        <w:tblInd w:w="0" w:type="dxa"/>
        <w:tblLayout w:type="fixed"/>
        <w:tblCellMar>
          <w:top w:w="28" w:type="dxa"/>
          <w:left w:w="28" w:type="dxa"/>
          <w:bottom w:w="28" w:type="dxa"/>
          <w:right w:w="28" w:type="dxa"/>
        </w:tblCellMar>
      </w:tblPr>
      <w:tblGrid>
        <w:gridCol w:w="315"/>
        <w:gridCol w:w="277"/>
        <w:gridCol w:w="278"/>
        <w:gridCol w:w="485"/>
        <w:gridCol w:w="341"/>
        <w:gridCol w:w="242"/>
        <w:gridCol w:w="486"/>
        <w:gridCol w:w="340"/>
        <w:gridCol w:w="244"/>
        <w:gridCol w:w="203"/>
        <w:gridCol w:w="203"/>
        <w:gridCol w:w="587"/>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As of August 31,</w:t>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8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Clients</w:t>
            </w:r>
            <w:r>
              <w:rPr>
                <w:rFonts w:ascii="Times New Roman;serif" w:hAnsi="Times New Roman;serif"/>
                <w:b w:val="false"/>
                <w:color w:val="000000"/>
                <w:sz w:val="13"/>
              </w:rPr>
              <w:t>(1)</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9,258 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8,996 </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5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Users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260,671 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237,324 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(1)The client count includes clients with ASV of $10,000 and above.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total client count increased mainly due to corporate clients and user count increased primarily due to wealth management users.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Annual ASV retention was greater than 95% of ASV as of August 31, 2026 and August 31, 2025. When expressed as a percentage of clients, annual retention was 90% as of August 31, 2026, compared with 91% as of August 31, 2025.</w:t>
      </w:r>
    </w:p>
    <w:p>
      <w:pPr>
        <w:pStyle w:val="TextBody"/>
        <w:bidi w:val="0"/>
        <w:spacing w:lineRule="auto" w:line="288" w:before="200" w:after="283"/>
        <w:jc w:val="both"/>
        <w:rPr>
          <w:rFonts w:ascii="Times New Roman;serif" w:hAnsi="Times New Roman;serif"/>
          <w:b/>
          <w:color w:val="000000"/>
          <w:sz w:val="24"/>
        </w:rPr>
      </w:pPr>
      <w:r>
        <w:rPr>
          <w:rFonts w:ascii="Times New Roman;serif" w:hAnsi="Times New Roman;serif"/>
          <w:b/>
          <w:color w:val="000000"/>
          <w:sz w:val="24"/>
        </w:rPr>
        <w:t>Employee Headcount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August 31, 2026, our net employee headcount decreased by 2.8% to 12,444, compared with 12,800 employees as of August 31, 2025. This net headcount reduction was primarily in the content operations group and was driven by restructuring and reduced hiring.</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Our net headcount reduction as of August 31, 2026, compared to August 31, 2025, was 5.5% in the Americas, 2.3% in Asia Pacific and 1.2% in EMEA. As of August 31, 2026, we had 8,652 employees located in Asia Pacific, 2,373 in the Americas and 1,419 in EMEA. Approximately 68% of our employees are located in our COEs.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color w:val="000000"/>
          <w:sz w:val="24"/>
        </w:rPr>
      </w:pPr>
      <w:r>
        <w:rPr>
          <w:rFonts w:ascii="Times New Roman;serif" w:hAnsi="Times New Roman;serif"/>
          <w:b/>
          <w:color w:val="000000"/>
          <w:sz w:val="24"/>
        </w:rPr>
        <w:t>Results of Operations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an understanding of the significant factors that influenced our performance during fiscal 2026 and 2025, the following discussion should be read in conjunction with the Consolidated Financial Statements and related Notes presented in Part II, Item 8. in this Annual Report on Form 10-K.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results of operations for the years presented:</w:t>
      </w:r>
    </w:p>
    <w:tbl>
      <w:tblPr>
        <w:tblW w:w="8239" w:type="dxa"/>
        <w:jc w:val="left"/>
        <w:tblInd w:w="0" w:type="dxa"/>
        <w:tblLayout w:type="fixed"/>
        <w:tblCellMar>
          <w:top w:w="28" w:type="dxa"/>
          <w:left w:w="28" w:type="dxa"/>
          <w:bottom w:w="28" w:type="dxa"/>
          <w:right w:w="28" w:type="dxa"/>
        </w:tblCellMar>
      </w:tblPr>
      <w:tblGrid>
        <w:gridCol w:w="1264"/>
        <w:gridCol w:w="1112"/>
        <w:gridCol w:w="1118"/>
        <w:gridCol w:w="109"/>
        <w:gridCol w:w="109"/>
        <w:gridCol w:w="109"/>
        <w:gridCol w:w="211"/>
        <w:gridCol w:w="976"/>
        <w:gridCol w:w="109"/>
        <w:gridCol w:w="109"/>
        <w:gridCol w:w="109"/>
        <w:gridCol w:w="109"/>
        <w:gridCol w:w="211"/>
        <w:gridCol w:w="976"/>
        <w:gridCol w:w="109"/>
        <w:gridCol w:w="109"/>
        <w:gridCol w:w="109"/>
        <w:gridCol w:w="109"/>
        <w:gridCol w:w="291"/>
        <w:gridCol w:w="294"/>
        <w:gridCol w:w="587"/>
      </w:tblGrid>
      <w:tr>
        <w:trPr/>
        <w:tc>
          <w:tcPr>
            <w:tcW w:w="1264"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 ended 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34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2,476,256 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2,321,748 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5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1,223,146 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1,097,782 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58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699,957 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748,303 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EPS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Revenues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growth in revenues of 6.7% was driven by a corresponding 6.7% increase in organic revenues, which totaled $2,464.6 million for fiscal 2026, and a net increase of 0.1% from foreign currency exchange rate fluctuations, partially offset by a 0.1% decrease from disposition revenues, net of acquisition revenues. Revenues increased in all our geographic segments, primarily in the Americas. The increase in revenues was mainly from workstations, data solutions and, to a lesser extent, portfolio management and trading solutions.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Revenues by Segment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revenues by segment:</w:t>
      </w:r>
    </w:p>
    <w:tbl>
      <w:tblPr>
        <w:tblW w:w="7092" w:type="dxa"/>
        <w:jc w:val="left"/>
        <w:tblInd w:w="0" w:type="dxa"/>
        <w:tblLayout w:type="fixed"/>
        <w:tblCellMar>
          <w:top w:w="28" w:type="dxa"/>
          <w:left w:w="28" w:type="dxa"/>
          <w:bottom w:w="28" w:type="dxa"/>
          <w:right w:w="28" w:type="dxa"/>
        </w:tblCellMar>
      </w:tblPr>
      <w:tblGrid>
        <w:gridCol w:w="934"/>
        <w:gridCol w:w="821"/>
        <w:gridCol w:w="824"/>
        <w:gridCol w:w="109"/>
        <w:gridCol w:w="109"/>
        <w:gridCol w:w="109"/>
        <w:gridCol w:w="283"/>
        <w:gridCol w:w="267"/>
        <w:gridCol w:w="664"/>
        <w:gridCol w:w="146"/>
        <w:gridCol w:w="146"/>
        <w:gridCol w:w="146"/>
        <w:gridCol w:w="283"/>
        <w:gridCol w:w="267"/>
        <w:gridCol w:w="664"/>
        <w:gridCol w:w="109"/>
        <w:gridCol w:w="109"/>
        <w:gridCol w:w="109"/>
        <w:gridCol w:w="203"/>
        <w:gridCol w:w="203"/>
        <w:gridCol w:w="587"/>
      </w:tblGrid>
      <w:tr>
        <w:trPr/>
        <w:tc>
          <w:tcPr>
            <w:tcW w:w="93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 ended 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(dollar 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25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1,617,438</w:t>
            </w:r>
          </w:p>
        </w:tc>
        <w:tc>
          <w:tcPr>
            <w:tcW w:w="4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1,506,108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5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65.3 </w:t>
            </w:r>
          </w:p>
        </w:tc>
        <w:tc>
          <w:tcPr>
            <w:tcW w:w="66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64.9 </w:t>
            </w:r>
          </w:p>
        </w:tc>
        <w:tc>
          <w:tcPr>
            <w:tcW w:w="66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605,339</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580,284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24.4 </w:t>
            </w:r>
          </w:p>
        </w:tc>
        <w:tc>
          <w:tcPr>
            <w:tcW w:w="66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25.0 </w:t>
            </w:r>
          </w:p>
        </w:tc>
        <w:tc>
          <w:tcPr>
            <w:tcW w:w="66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253,479</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235,356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10.3 </w:t>
            </w:r>
          </w:p>
        </w:tc>
        <w:tc>
          <w:tcPr>
            <w:tcW w:w="66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10.1 </w:t>
            </w:r>
          </w:p>
        </w:tc>
        <w:tc>
          <w:tcPr>
            <w:tcW w:w="66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2,476,256</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2,321,748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Americas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growth in revenues of 7.4% was driven by a 6.9% increase in organic revenues and a 0.5% increase from acquisition revenues, net of disposition revenues. The increase in revenues was mainly driven by workstations, data solutions, and portfolio management and trading solutions.</w:t>
      </w:r>
    </w:p>
    <w:p>
      <w:pPr>
        <w:pStyle w:val="TextBody"/>
        <w:bidi w:val="0"/>
        <w:spacing w:lineRule="auto" w:line="288" w:before="200" w:after="200"/>
        <w:jc w:val="both"/>
        <w:rPr>
          <w:rFonts w:ascii="Times New Roman;serif" w:hAnsi="Times New Roman;serif"/>
          <w:b w:val="false"/>
          <w:i/>
          <w:color w:val="000000"/>
          <w:sz w:val="20"/>
        </w:rPr>
      </w:pPr>
      <w:r>
        <w:rPr>
          <w:rFonts w:ascii="Times New Roman;serif" w:hAnsi="Times New Roman;serif"/>
          <w:b w:val="false"/>
          <w:i/>
          <w:color w:val="000000"/>
          <w:sz w:val="20"/>
        </w:rPr>
        <w:t>EMEA</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growth in revenues of 4.3% was driven by a 5.0% increase in organic revenues and a 0.5% net increase from foreign currency exchange rate fluctuations, partially offset by a 1.2% decrease related to disposition revenues, net of acquisition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revenues. The increase in revenues was primarily from data solutions and workstations, partially offset by a decrease in revenues due to the disposition. </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Asia Pacific</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growth in revenue of 7.7% was driven by a 9.9% increase in organic revenues, partially offset by a 1.7% decrease related to disposition revenues, net of acquisition revenues, and a 0.5% net decrease from foreign currency exchange rate fluctuations. The increase in revenues was mainly driven by data solutions, workstations and middle office solutions, partially offset by a decrease in revenues due to the disposition.</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Operating Expenses</w:t>
      </w:r>
    </w:p>
    <w:p>
      <w:pPr>
        <w:pStyle w:val="TextBody"/>
        <w:bidi w:val="0"/>
        <w:spacing w:lineRule="auto" w:line="288" w:before="200" w:after="200"/>
        <w:jc w:val="both"/>
        <w:rPr>
          <w:rFonts w:ascii="Times New Roman;serif" w:hAnsi="Times New Roman;serif"/>
          <w:b/>
          <w:i/>
          <w:color w:val="000000"/>
          <w:sz w:val="20"/>
        </w:rPr>
      </w:pPr>
      <w:r>
        <w:rPr>
          <w:rFonts w:ascii="Times New Roman;serif" w:hAnsi="Times New Roman;serif"/>
          <w:b/>
          <w:i/>
          <w:color w:val="000000"/>
          <w:sz w:val="20"/>
        </w:rPr>
        <w:t>Principal Operating Expenses</w:t>
      </w:r>
    </w:p>
    <w:p>
      <w:pPr>
        <w:pStyle w:val="TextBody"/>
        <w:bidi w:val="0"/>
        <w:spacing w:lineRule="auto" w:line="268" w:before="0" w:after="0"/>
        <w:jc w:val="both"/>
        <w:rPr/>
      </w:pPr>
      <w:r>
        <w:rPr>
          <w:rFonts w:ascii="Times New Roman;serif" w:hAnsi="Times New Roman;serif"/>
          <w:b/>
          <w:color w:val="000000"/>
          <w:sz w:val="20"/>
        </w:rPr>
        <w:t>Cost of services</w:t>
      </w:r>
      <w:r>
        <w:rPr>
          <w:color w:val="000000"/>
        </w:rPr>
        <w:t xml:space="preserve"> </w:t>
      </w:r>
      <w:r>
        <w:rPr>
          <w:rFonts w:ascii="Times New Roman;serif" w:hAnsi="Times New Roman;serif"/>
          <w:b w:val="false"/>
          <w:color w:val="000000"/>
          <w:sz w:val="20"/>
        </w:rPr>
        <w:t>is mainly comprised of employee compensation costs and also includes expenses related to data costs, technology-related expenses, amortization of intangible assets, royalty fees, telecommunication costs and computer depreciation.</w:t>
      </w:r>
    </w:p>
    <w:p>
      <w:pPr>
        <w:pStyle w:val="TextBody"/>
        <w:bidi w:val="0"/>
        <w:spacing w:lineRule="auto" w:line="288" w:before="200" w:after="283"/>
        <w:jc w:val="both"/>
        <w:rPr/>
      </w:pPr>
      <w:r>
        <w:rPr>
          <w:rFonts w:ascii="Times New Roman;serif" w:hAnsi="Times New Roman;serif"/>
          <w:b/>
          <w:color w:val="000000"/>
          <w:sz w:val="20"/>
        </w:rPr>
        <w:t xml:space="preserve">Selling, general and administrative </w:t>
      </w:r>
      <w:r>
        <w:rPr>
          <w:rFonts w:ascii="Times New Roman;serif" w:hAnsi="Times New Roman;serif"/>
          <w:b w:val="false"/>
          <w:color w:val="000000"/>
          <w:sz w:val="20"/>
        </w:rPr>
        <w:t>("</w:t>
      </w:r>
      <w:r>
        <w:rPr>
          <w:rFonts w:ascii="Times New Roman;serif" w:hAnsi="Times New Roman;serif"/>
          <w:b/>
          <w:color w:val="000000"/>
          <w:sz w:val="20"/>
        </w:rPr>
        <w:t>SG&amp;A")</w:t>
      </w:r>
      <w:r>
        <w:rPr>
          <w:color w:val="000000"/>
        </w:rPr>
        <w:t xml:space="preserve"> </w:t>
      </w:r>
      <w:r>
        <w:rPr>
          <w:rFonts w:ascii="Times New Roman;serif" w:hAnsi="Times New Roman;serif"/>
          <w:b w:val="false"/>
          <w:color w:val="000000"/>
          <w:sz w:val="20"/>
        </w:rPr>
        <w:t>consists primarily of employee compensation costs and also includes expenses related to occupancy costs, professional fees, depreciation of furniture and fixtures, amortization of leasehold improvements, travel and entertainment expenses, marketing costs, other employee-related expenses, internal communication costs, bad debt expense, the impact from our foreign currency forward contracts and asset impairments.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Employee compensation costs are a major component of both our Cost of services and SG&amp;A. These expenses primarily include costs related to salaries, incentive compensation and sales commissions, stock-based compensation, benefits, employment taxes and restructuring costs.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assign employee compensation costs between Cost of services and SG&amp;A based on the roles and activities associated with each employee. We categorize employees within the content collection, consulting, product development, software and systems engineering groups as Cost of services personnel. Employees included in our sales department and those that serve in various other support departments, including marketing, finance, legal, human resources and administrative services, are classified as SG&amp;A.</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our total operating expenses and operating margin:</w:t>
      </w:r>
    </w:p>
    <w:tbl>
      <w:tblPr>
        <w:tblW w:w="7197" w:type="dxa"/>
        <w:jc w:val="left"/>
        <w:tblInd w:w="0" w:type="dxa"/>
        <w:tblLayout w:type="fixed"/>
        <w:tblCellMar>
          <w:top w:w="28" w:type="dxa"/>
          <w:left w:w="28" w:type="dxa"/>
          <w:bottom w:w="28" w:type="dxa"/>
          <w:right w:w="28" w:type="dxa"/>
        </w:tblCellMar>
      </w:tblPr>
      <w:tblGrid>
        <w:gridCol w:w="934"/>
        <w:gridCol w:w="821"/>
        <w:gridCol w:w="824"/>
        <w:gridCol w:w="109"/>
        <w:gridCol w:w="109"/>
        <w:gridCol w:w="109"/>
        <w:gridCol w:w="283"/>
        <w:gridCol w:w="267"/>
        <w:gridCol w:w="664"/>
        <w:gridCol w:w="146"/>
        <w:gridCol w:w="146"/>
        <w:gridCol w:w="146"/>
        <w:gridCol w:w="283"/>
        <w:gridCol w:w="267"/>
        <w:gridCol w:w="664"/>
        <w:gridCol w:w="109"/>
        <w:gridCol w:w="109"/>
        <w:gridCol w:w="109"/>
        <w:gridCol w:w="255"/>
        <w:gridCol w:w="256"/>
        <w:gridCol w:w="587"/>
      </w:tblGrid>
      <w:tr>
        <w:trPr/>
        <w:tc>
          <w:tcPr>
            <w:tcW w:w="93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257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 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 ended 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25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1,223,146</w:t>
            </w:r>
          </w:p>
        </w:tc>
        <w:tc>
          <w:tcPr>
            <w:tcW w:w="4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1,097,782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5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553,153</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475,663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1,776,299</w:t>
            </w:r>
          </w:p>
        </w:tc>
        <w:tc>
          <w:tcPr>
            <w:tcW w:w="4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1,573,445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5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699,957</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748,303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28.3 </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32.2 </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Cost of Services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increase in Cost of services was primarily due to higher employee compensation costs and, to a lesser extent, an increase in amortization of intangible assets and technology-related expenses. When expressed as a percentage of revenues, Cost of services was 49.4% for fiscal 2026, an increase of 210 basis points compared with fiscal 2025, primarily driven by:</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Employee compensation costs increased by 100 basis points, primarily driven by restructuring charges to drive organizational efficiencies and higher annual base salaries mainly due to annual merit increases.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Amortization of intangible assets increased by 50 basis points, mainly due to an increase in capitalized internal-use software development costs.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Technology-related expenses increased by 40 basis points, primarily driven by higher spend in cloud-based hosting services and licensed software arrangements.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pPr>
      <w:r>
        <w:rPr>
          <w:rFonts w:ascii="Times New Roman;serif" w:hAnsi="Times New Roman;serif"/>
          <w:b/>
          <w:color w:val="000000"/>
          <w:sz w:val="20"/>
        </w:rPr>
        <w:t>Selling, General and Administrative</w:t>
      </w:r>
      <w:r>
        <w:rPr>
          <w:color w:val="FF0000"/>
        </w:rPr>
        <w:t xml:space="preserv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SG&amp;A was primarily driven by higher employee compensation costs. When expressed as a percentage of revenues, SG&amp;A was 22.3% for fiscal 2026, an increase of 190 basis points compared with fiscal 2025, mainly due to: </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Employee compensation costs increased 220 basis points, primarily due to higher variable compensation costs and stock-based compensation expense mainly due to the recognition, over their respective service periods, of the one-time cash bonus and equity awards granted to our CEO pursuant to the terms of his employment agreement. In addition, variable compensation costs increased mainly due to financial achievement against targets. </w:t>
      </w:r>
    </w:p>
    <w:p>
      <w:pPr>
        <w:pStyle w:val="TextBody"/>
        <w:bidi w:val="0"/>
        <w:spacing w:lineRule="auto" w:line="288" w:before="200" w:after="60"/>
        <w:jc w:val="both"/>
        <w:rPr>
          <w:rFonts w:ascii="Times New Roman;serif" w:hAnsi="Times New Roman;serif"/>
          <w:b/>
          <w:color w:val="000000"/>
          <w:sz w:val="20"/>
        </w:rPr>
      </w:pPr>
      <w:r>
        <w:rPr>
          <w:rFonts w:ascii="Times New Roman;serif" w:hAnsi="Times New Roman;serif"/>
          <w:b/>
          <w:color w:val="000000"/>
          <w:sz w:val="20"/>
        </w:rPr>
        <w:t>Operating Income and Operating Margin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Operating income decreased 6.5% to $700.0 million in fiscal 2026, compared with $748.3 million in fiscal 2025. Operating margin decreased to 28.3% in fiscal 2026, compared with 32.2% in the prior year, primarily driven by higher operating expenses, mainly due to an increase in employee compensation costs, partially offset by growth in revenues. The increase in employee compensation costs was primarily driven by restructuring charges, higher variable compensation costs and one-time CEO compensation costs pursuant to the terms of his employment agreement.</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Operating Income by Segment</w:t>
      </w:r>
    </w:p>
    <w:p>
      <w:pPr>
        <w:pStyle w:val="TextBody"/>
        <w:bidi w:val="0"/>
        <w:spacing w:lineRule="auto" w:line="288" w:before="200" w:after="283"/>
        <w:jc w:val="both"/>
        <w:rPr/>
      </w:pPr>
      <w:r>
        <w:rPr>
          <w:rFonts w:ascii="Times New Roman;serif" w:hAnsi="Times New Roman;serif"/>
          <w:b w:val="false"/>
          <w:color w:val="000000"/>
          <w:sz w:val="20"/>
        </w:rPr>
        <w:t xml:space="preserve">We operate our business through three segments: the Americas; EMEA; and Asia Pacific. Refer to Part II, Item 8. Note 16, </w:t>
      </w:r>
      <w:r>
        <w:rPr>
          <w:rFonts w:ascii="Times New Roman;serif" w:hAnsi="Times New Roman;serif"/>
          <w:b w:val="false"/>
          <w:i/>
          <w:color w:val="000000"/>
          <w:sz w:val="20"/>
        </w:rPr>
        <w:t xml:space="preserve">Segment Information </w:t>
      </w:r>
      <w:r>
        <w:rPr>
          <w:rFonts w:ascii="Times New Roman;serif" w:hAnsi="Times New Roman;serif"/>
          <w:b w:val="false"/>
          <w:color w:val="000000"/>
          <w:sz w:val="20"/>
        </w:rPr>
        <w:t>in the Notes to the Consolidated Financial Statements included in this Annual Report on Form 10-K for further discussion regarding our segments. The following table summarizes our operating income by segment:</w:t>
      </w:r>
    </w:p>
    <w:tbl>
      <w:tblPr>
        <w:tblW w:w="7025" w:type="dxa"/>
        <w:jc w:val="left"/>
        <w:tblInd w:w="0" w:type="dxa"/>
        <w:tblLayout w:type="fixed"/>
        <w:tblCellMar>
          <w:top w:w="28" w:type="dxa"/>
          <w:left w:w="28" w:type="dxa"/>
          <w:bottom w:w="28" w:type="dxa"/>
          <w:right w:w="28" w:type="dxa"/>
        </w:tblCellMar>
      </w:tblPr>
      <w:tblGrid>
        <w:gridCol w:w="934"/>
        <w:gridCol w:w="821"/>
        <w:gridCol w:w="824"/>
        <w:gridCol w:w="109"/>
        <w:gridCol w:w="109"/>
        <w:gridCol w:w="109"/>
        <w:gridCol w:w="211"/>
        <w:gridCol w:w="826"/>
        <w:gridCol w:w="109"/>
        <w:gridCol w:w="109"/>
        <w:gridCol w:w="109"/>
        <w:gridCol w:w="109"/>
        <w:gridCol w:w="211"/>
        <w:gridCol w:w="826"/>
        <w:gridCol w:w="109"/>
        <w:gridCol w:w="109"/>
        <w:gridCol w:w="109"/>
        <w:gridCol w:w="109"/>
        <w:gridCol w:w="293"/>
        <w:gridCol w:w="293"/>
        <w:gridCol w:w="587"/>
      </w:tblGrid>
      <w:tr>
        <w:trPr/>
        <w:tc>
          <w:tcPr>
            <w:tcW w:w="93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 ended 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 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25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305,963 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5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699,957 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748,303 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Americas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Americas operating income decreased primarily due to higher employee compensation costs and, to a lesser extent, amortization of intangible assets and technology-related expenses, partially offset by growth in revenues of 7.4%.</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Employee compensation costs increased primarily due to higher variable compensation costs, restructuring charges and an increase in stock-based compensation expense. Variable compensation costs increased due to financial achievement against targets. In addition, the increase in variable compensation costs and stock-based compensation expense was driven by the recognition, over their respective service periods, of the one-time cash bonus and equity awards granted to our CEO pursuant to the terms of his employment agreement. The restructuring charges were related to driving organizational efficiencies.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Amortization of intangible assets increased mainly due to an increase in capitalized internal-use software development costs.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Technology-related expenses increased primarily due to higher spend in cloud-based hosting services and licensed software arrangements.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EMEA</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EMEA operating income decreased primarily due to higher employee compensation costs, partially offset by growth in revenues of 4.3%. Employee compensation costs increased mainly due to higher annual base salaries, driven by annual merit increases, and restructuring charges to drive organizational efficiencies.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Asia Pacific</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Asia Pacific operating income increased mainly due to growth in revenues of 7.7%, partially offset by higher employee compensation costs driven by an increase in annual base salaries, primarily from annual merit increases.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taxes and the effective tax rate are as follows:</w:t>
      </w:r>
    </w:p>
    <w:tbl>
      <w:tblPr>
        <w:tblW w:w="7243" w:type="dxa"/>
        <w:jc w:val="left"/>
        <w:tblInd w:w="0" w:type="dxa"/>
        <w:tblLayout w:type="fixed"/>
        <w:tblCellMar>
          <w:top w:w="28" w:type="dxa"/>
          <w:left w:w="28" w:type="dxa"/>
          <w:bottom w:w="28" w:type="dxa"/>
          <w:right w:w="28" w:type="dxa"/>
        </w:tblCellMar>
      </w:tblPr>
      <w:tblGrid>
        <w:gridCol w:w="934"/>
        <w:gridCol w:w="821"/>
        <w:gridCol w:w="824"/>
        <w:gridCol w:w="109"/>
        <w:gridCol w:w="109"/>
        <w:gridCol w:w="109"/>
        <w:gridCol w:w="211"/>
        <w:gridCol w:w="826"/>
        <w:gridCol w:w="271"/>
        <w:gridCol w:w="109"/>
        <w:gridCol w:w="109"/>
        <w:gridCol w:w="109"/>
        <w:gridCol w:w="211"/>
        <w:gridCol w:w="826"/>
        <w:gridCol w:w="271"/>
        <w:gridCol w:w="109"/>
        <w:gridCol w:w="109"/>
        <w:gridCol w:w="109"/>
        <w:gridCol w:w="239"/>
        <w:gridCol w:w="241"/>
        <w:gridCol w:w="587"/>
      </w:tblGrid>
      <w:tr>
        <w:trPr/>
        <w:tc>
          <w:tcPr>
            <w:tcW w:w="93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 ended 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 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25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649,716 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720,958 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5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116,235 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123,918 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58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are subject to taxation in the U.S. and various state, local and foreign jurisdictions in which we conduct our business. Our effective tax rate will vary based on, among other factors, changes in levels of foreign income, as well as other non-recurring events.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Our effective tax rate for fiscal 2026 was 17.9% compared with 17.2% for fiscal 2025. This increase was primarily due to a stock-based compensation tax shortfall and the limitation on the deductibility of executive compensation, partially offset by the favorable resolution of uncertain tax positions in the U.S. All local, federal and foreign taxes payable were paid in a timely manner, subject to normal audits of open years.</w:t>
      </w:r>
    </w:p>
    <w:p>
      <w:pPr>
        <w:pStyle w:val="TextBody"/>
        <w:bidi w:val="0"/>
        <w:spacing w:lineRule="auto" w:line="288" w:before="200" w:after="200"/>
        <w:jc w:val="both"/>
        <w:rPr/>
      </w:pPr>
      <w:r>
        <w:rPr>
          <w:rFonts w:ascii="Times New Roman;serif" w:hAnsi="Times New Roman;serif"/>
          <w:b w:val="false"/>
          <w:color w:val="000000"/>
          <w:sz w:val="20"/>
        </w:rPr>
        <w:t xml:space="preserve">For a reconciliation from the U.S. corporate tax rate to our effective tax rates for the periods presented, refer to Part II, Item 8. Note 8, </w:t>
      </w:r>
      <w:r>
        <w:rPr>
          <w:rFonts w:ascii="Times New Roman;serif" w:hAnsi="Times New Roman;serif"/>
          <w:b w:val="false"/>
          <w:i/>
          <w:color w:val="000000"/>
          <w:sz w:val="20"/>
        </w:rPr>
        <w:t xml:space="preserve">Income Taxes </w:t>
      </w:r>
      <w:r>
        <w:rPr>
          <w:rFonts w:ascii="Times New Roman;serif" w:hAnsi="Times New Roman;serif"/>
          <w:b w:val="false"/>
          <w:color w:val="000000"/>
          <w:sz w:val="20"/>
        </w:rPr>
        <w:t>in the Notes to the Consolidated Financial Statements included in this Annual Report on Form 10-K.</w:t>
      </w:r>
    </w:p>
    <w:p>
      <w:pPr>
        <w:pStyle w:val="TextBody"/>
        <w:bidi w:val="0"/>
        <w:spacing w:lineRule="auto" w:line="288" w:before="200" w:after="200"/>
        <w:jc w:val="both"/>
        <w:rPr>
          <w:rFonts w:ascii="Times New Roman;serif" w:hAnsi="Times New Roman;serif"/>
          <w:b/>
          <w:color w:val="000000"/>
          <w:sz w:val="20"/>
        </w:rPr>
      </w:pPr>
      <w:r>
        <w:rPr>
          <w:rFonts w:ascii="Times New Roman;serif" w:hAnsi="Times New Roman;serif"/>
          <w:b/>
          <w:color w:val="000000"/>
          <w:sz w:val="20"/>
        </w:rPr>
        <w:t>Net Income and Diluted EPS</w:t>
      </w:r>
    </w:p>
    <w:tbl>
      <w:tblPr>
        <w:tblW w:w="7940" w:type="dxa"/>
        <w:jc w:val="left"/>
        <w:tblInd w:w="0" w:type="dxa"/>
        <w:tblLayout w:type="fixed"/>
        <w:tblCellMar>
          <w:top w:w="28" w:type="dxa"/>
          <w:left w:w="28" w:type="dxa"/>
          <w:bottom w:w="28" w:type="dxa"/>
          <w:right w:w="28" w:type="dxa"/>
        </w:tblCellMar>
      </w:tblPr>
      <w:tblGrid>
        <w:gridCol w:w="1264"/>
        <w:gridCol w:w="1112"/>
        <w:gridCol w:w="1118"/>
        <w:gridCol w:w="109"/>
        <w:gridCol w:w="109"/>
        <w:gridCol w:w="109"/>
        <w:gridCol w:w="211"/>
        <w:gridCol w:w="826"/>
        <w:gridCol w:w="109"/>
        <w:gridCol w:w="109"/>
        <w:gridCol w:w="109"/>
        <w:gridCol w:w="109"/>
        <w:gridCol w:w="211"/>
        <w:gridCol w:w="826"/>
        <w:gridCol w:w="109"/>
        <w:gridCol w:w="109"/>
        <w:gridCol w:w="109"/>
        <w:gridCol w:w="109"/>
        <w:gridCol w:w="293"/>
        <w:gridCol w:w="293"/>
        <w:gridCol w:w="587"/>
      </w:tblGrid>
      <w:tr>
        <w:trPr/>
        <w:tc>
          <w:tcPr>
            <w:tcW w:w="1264"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 ended 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34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533,481 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597,040 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5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58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decrease in Net income and Diluted EPS for fiscal 2026, compared with fiscal 2025, was primarily driven by higher operating expenses, including non-recurring items, partially offset by growth in revenues. The decrease in Diluted EPS was also partially offset by lower diluted weighted average common shares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4"/>
        </w:rPr>
      </w:pPr>
      <w:r>
        <w:rPr>
          <w:rFonts w:ascii="Times New Roman;serif" w:hAnsi="Times New Roman;serif"/>
          <w:b/>
          <w:color w:val="000000"/>
          <w:sz w:val="24"/>
        </w:rPr>
        <w:t>Non-GAAP Financial Measures</w:t>
      </w:r>
    </w:p>
    <w:p>
      <w:pPr>
        <w:pStyle w:val="TextBody"/>
        <w:bidi w:val="0"/>
        <w:spacing w:lineRule="auto" w:line="288" w:before="200" w:after="283"/>
        <w:jc w:val="both"/>
        <w:rPr/>
      </w:pPr>
      <w:r>
        <w:rPr>
          <w:rFonts w:ascii="Times New Roman;serif" w:hAnsi="Times New Roman;serif"/>
          <w:b w:val="false"/>
          <w:color w:val="000000"/>
          <w:sz w:val="20"/>
        </w:rPr>
        <w:t xml:space="preserve">To supplement the financial measures prepared in accordance with generally accepted accounting principles in the United States ("GAAP"), we use non-GAAP financial measures including organic revenues, adjusted operating income, adjusted operating margin, adjusted net income, EBITDA, adjusted EBITDA, adjusted Diluted EPS and free cash flow. Reconciliations from our financial measures calculated and presented in accordance with GAAP to these non-GAAP financial measures are shown in the tables below, and the reconciliation of free cash flow is included in the </w:t>
      </w:r>
      <w:r>
        <w:rPr>
          <w:rFonts w:ascii="Times New Roman;serif" w:hAnsi="Times New Roman;serif"/>
          <w:b w:val="false"/>
          <w:i/>
          <w:color w:val="000000"/>
          <w:sz w:val="20"/>
        </w:rPr>
        <w:t xml:space="preserve">Liquidity and Capital Resources </w:t>
      </w:r>
      <w:r>
        <w:rPr>
          <w:rFonts w:ascii="Times New Roman;serif" w:hAnsi="Times New Roman;serif"/>
          <w:b w:val="false"/>
          <w:color w:val="000000"/>
          <w:sz w:val="20"/>
        </w:rPr>
        <w:t>section. These non-GAAP financial measures should not be considered in isolation from, as a substitute for, or superior to, financial measures reported in accordance with GAAP. Moreover, these non-GAAP financial measures have limitations in that they do not reflect all the items associated with the operations of our business as determined in accordance with GAAP. Other companies may calculate similarly titled non-GAAP financial measures differently than we do, limiting the usefulness of those measures for comparative purposes.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Despite the limitations of these non-GAAP financial measures, we believe these adjusted financial measures and the information they provide are useful in viewing our performance using the same tools that management uses to gauge progress in achieving our goals. Adjusted measures may also facilitate comparisons to our historical performance.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Organic revenues equals our revenues, excluding the current year impact of revenues from acquisitions and the comparable impact of dispositions and discontinued lines of business, effected within the past 12 months ("Acquisition revenues", and disposition and discontinued lines of business together, "Disposition revenues", respectively) and the current year impact of foreign currency movements. For acquisitions, organic revenues exclude current year revenues that were incurred prior to the first anniversary date of an acquisition. For dispositions and discontinued lines of business, prior year organic revenues exclude the prior year comparable revenues that were incurred before the date of disposition or discontinuance.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table below provides an unaudited reconciliation of revenues to organic revenues:</w:t>
      </w:r>
    </w:p>
    <w:tbl>
      <w:tblPr>
        <w:tblW w:w="6818" w:type="dxa"/>
        <w:jc w:val="left"/>
        <w:tblInd w:w="0" w:type="dxa"/>
        <w:tblLayout w:type="fixed"/>
        <w:tblCellMar>
          <w:top w:w="28" w:type="dxa"/>
          <w:left w:w="28" w:type="dxa"/>
          <w:bottom w:w="28" w:type="dxa"/>
          <w:right w:w="28" w:type="dxa"/>
        </w:tblCellMar>
      </w:tblPr>
      <w:tblGrid>
        <w:gridCol w:w="934"/>
        <w:gridCol w:w="821"/>
        <w:gridCol w:w="824"/>
        <w:gridCol w:w="211"/>
        <w:gridCol w:w="976"/>
        <w:gridCol w:w="109"/>
        <w:gridCol w:w="109"/>
        <w:gridCol w:w="109"/>
        <w:gridCol w:w="109"/>
        <w:gridCol w:w="211"/>
        <w:gridCol w:w="976"/>
        <w:gridCol w:w="109"/>
        <w:gridCol w:w="109"/>
        <w:gridCol w:w="109"/>
        <w:gridCol w:w="109"/>
        <w:gridCol w:w="203"/>
        <w:gridCol w:w="203"/>
        <w:gridCol w:w="587"/>
      </w:tblGrid>
      <w:tr>
        <w:trPr/>
        <w:tc>
          <w:tcPr>
            <w:tcW w:w="93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Years ended August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 amounts 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257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2,476,256 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2,321,748 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58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 revenues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Disposition revenues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Currency impact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Organic revenues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2,464,614 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2,309,287 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table below provides an unaudited reconciliation of Operating income, operating margin, Net income and Diluted EPS to adjusted operating income, adjusted operating margin, adjusted net income, EBITDA, adjusted EBITDA and adjusted Diluted EPS. Adjusted operating income and margin, adjusted net income, and adjusted Diluted EPS exclude the impact of acquisition-related intangible asset amortization and non-recurring items. EBITDA represents earnings before interest expense, provision for income taxes and depreciation and amortization, while adjusted EBITDA further excludes non-recurring non-cash expenses.</w:t>
      </w:r>
    </w:p>
    <w:tbl>
      <w:tblPr>
        <w:tblW w:w="8063" w:type="dxa"/>
        <w:jc w:val="left"/>
        <w:tblInd w:w="0" w:type="dxa"/>
        <w:tblLayout w:type="fixed"/>
        <w:tblCellMar>
          <w:top w:w="28" w:type="dxa"/>
          <w:left w:w="28" w:type="dxa"/>
          <w:bottom w:w="28" w:type="dxa"/>
          <w:right w:w="28" w:type="dxa"/>
        </w:tblCellMar>
      </w:tblPr>
      <w:tblGrid>
        <w:gridCol w:w="1547"/>
        <w:gridCol w:w="1360"/>
        <w:gridCol w:w="1368"/>
        <w:gridCol w:w="211"/>
        <w:gridCol w:w="826"/>
        <w:gridCol w:w="271"/>
        <w:gridCol w:w="211"/>
        <w:gridCol w:w="826"/>
        <w:gridCol w:w="271"/>
        <w:gridCol w:w="291"/>
        <w:gridCol w:w="294"/>
        <w:gridCol w:w="587"/>
      </w:tblGrid>
      <w:tr>
        <w:trPr/>
        <w:tc>
          <w:tcPr>
            <w:tcW w:w="1547"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Years ended August 31, </w:t>
            </w:r>
          </w:p>
        </w:tc>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 share data)</w:t>
            </w:r>
          </w:p>
        </w:tc>
        <w:tc>
          <w:tcPr>
            <w:tcW w:w="130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1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427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699,957 </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748,303 </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58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Restructuring/severance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CEO onboarding costs</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disposition, acquisitions and related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 Labor Codes Reform</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Client bankruptcy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reserve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Sales Tax Dispute</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income</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855,308 </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843,432 </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margin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Adjusted operating margin</w:t>
            </w:r>
            <w:r>
              <w:rPr>
                <w:rFonts w:ascii="Times New Roman;serif" w:hAnsi="Times New Roman;serif"/>
                <w:b w:val="false"/>
                <w:color w:val="000000"/>
                <w:sz w:val="13"/>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533,481 </w:t>
            </w:r>
          </w:p>
        </w:tc>
        <w:tc>
          <w:tcPr>
            <w:tcW w:w="27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597,040 </w:t>
            </w:r>
          </w:p>
        </w:tc>
        <w:tc>
          <w:tcPr>
            <w:tcW w:w="27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587"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Restructuring/severance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CEO onboarding costs</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Impairment within Other assets</w:t>
            </w:r>
            <w:r>
              <w:rPr>
                <w:rFonts w:ascii="Times New Roman;serif" w:hAnsi="Times New Roman;serif"/>
                <w:b w:val="false"/>
                <w:color w:val="000000"/>
                <w:sz w:val="13"/>
              </w:rPr>
              <w:t>(4)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disposition, acquisitions and related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 Labor Codes Reform</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Client bankruptcy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reserve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Sales Tax Dispute</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business divestiture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income from business disposition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items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net income</w:t>
            </w:r>
            <w:r>
              <w:rPr>
                <w:rFonts w:ascii="Times New Roman;serif" w:hAnsi="Times New Roman;serif"/>
                <w:b w:val="false"/>
                <w:color w:val="000000"/>
                <w:sz w:val="13"/>
              </w:rPr>
              <w:t>(5)</w:t>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659,498 </w:t>
            </w:r>
          </w:p>
        </w:tc>
        <w:tc>
          <w:tcPr>
            <w:tcW w:w="27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651,617 </w:t>
            </w:r>
          </w:p>
        </w:tc>
        <w:tc>
          <w:tcPr>
            <w:tcW w:w="27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87" w:type="dxa"/>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tbl>
      <w:tblPr>
        <w:tblW w:w="7468" w:type="dxa"/>
        <w:jc w:val="left"/>
        <w:tblInd w:w="0" w:type="dxa"/>
        <w:tblLayout w:type="fixed"/>
        <w:tblCellMar>
          <w:top w:w="28" w:type="dxa"/>
          <w:left w:w="28" w:type="dxa"/>
          <w:bottom w:w="28" w:type="dxa"/>
          <w:right w:w="28" w:type="dxa"/>
        </w:tblCellMar>
      </w:tblPr>
      <w:tblGrid>
        <w:gridCol w:w="1549"/>
        <w:gridCol w:w="1356"/>
        <w:gridCol w:w="1369"/>
        <w:gridCol w:w="211"/>
        <w:gridCol w:w="826"/>
        <w:gridCol w:w="109"/>
        <w:gridCol w:w="211"/>
        <w:gridCol w:w="826"/>
        <w:gridCol w:w="109"/>
        <w:gridCol w:w="293"/>
        <w:gridCol w:w="293"/>
        <w:gridCol w:w="316"/>
      </w:tblGrid>
      <w:tr>
        <w:trPr/>
        <w:tc>
          <w:tcPr>
            <w:tcW w:w="1549"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533,481 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597,040 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31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885,230 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934,973 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Non-recurring non-cash expenses</w:t>
            </w:r>
            <w:r>
              <w:rPr>
                <w:rFonts w:ascii="Times New Roman;serif" w:hAnsi="Times New Roman;serif"/>
                <w:b w:val="false"/>
                <w:color w:val="000000"/>
                <w:sz w:val="13"/>
              </w:rPr>
              <w:t>(6)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911,407 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934,973 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7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EPS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31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Restructuring/severance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CEO onboarding costs</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Impairment within Other assets</w:t>
            </w:r>
            <w:r>
              <w:rPr>
                <w:rFonts w:ascii="Times New Roman;serif" w:hAnsi="Times New Roman;serif"/>
                <w:b w:val="false"/>
                <w:color w:val="000000"/>
                <w:sz w:val="13"/>
              </w:rPr>
              <w:t>(4)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disposition, acquisitions and related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 Labor Codes Reform</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Client bankruptcy charges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reserve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Sales Tax Dispute</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business divestiture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Non-operating income from business disposition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items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Diluted EPS</w:t>
            </w:r>
            <w:r>
              <w:rPr>
                <w:rFonts w:ascii="Times New Roman;serif" w:hAnsi="Times New Roman;serif"/>
                <w:b w:val="false"/>
                <w:color w:val="000000"/>
                <w:sz w:val="13"/>
              </w:rPr>
              <w:t>(5)</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7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(diluted)</w:t>
            </w:r>
          </w:p>
        </w:tc>
        <w:tc>
          <w:tcPr>
            <w:tcW w:w="103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36,612 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38,385 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(1)For fiscal 2026, these costs are related to the recognition, over their respective service periods, of one-time make-whole cash and equity awards issued to our CEO pursuant to the terms of his employment agreement.</w:t>
      </w:r>
    </w:p>
    <w:p>
      <w:pPr>
        <w:pStyle w:val="TextBody"/>
        <w:bidi w:val="0"/>
        <w:spacing w:lineRule="auto" w:line="288" w:before="0" w:after="0"/>
        <w:ind w:left="0" w:right="0" w:hanging="270"/>
        <w:jc w:val="both"/>
        <w:rPr/>
      </w:pPr>
      <w:r>
        <w:rPr>
          <w:rFonts w:ascii="Times New Roman;serif" w:hAnsi="Times New Roman;serif"/>
          <w:b w:val="false"/>
          <w:color w:val="000000"/>
          <w:sz w:val="18"/>
        </w:rPr>
        <w:t xml:space="preserve">(2)Related to a resolved matter with the Massachusetts Department of Revenue. Refer to Part II, Item 8. Note 11, </w:t>
      </w:r>
      <w:r>
        <w:rPr>
          <w:rFonts w:ascii="Times New Roman;serif" w:hAnsi="Times New Roman;serif"/>
          <w:b w:val="false"/>
          <w:i/>
          <w:color w:val="000000"/>
          <w:sz w:val="18"/>
        </w:rPr>
        <w:t>Commitments and Contingencies</w:t>
      </w:r>
      <w:r>
        <w:rPr>
          <w:color w:val="000000"/>
        </w:rPr>
        <w:t xml:space="preserve"> </w:t>
      </w:r>
      <w:r>
        <w:rPr>
          <w:rFonts w:ascii="Times New Roman;serif" w:hAnsi="Times New Roman;serif"/>
          <w:b w:val="false"/>
          <w:color w:val="000000"/>
          <w:sz w:val="18"/>
        </w:rPr>
        <w:t>in the Notes to the Consolidated Financial Statements included in this Annual Report on Form 10-K, for further discussion on this matter.</w:t>
      </w:r>
    </w:p>
    <w:p>
      <w:pPr>
        <w:pStyle w:val="TextBody"/>
        <w:bidi w:val="0"/>
        <w:spacing w:lineRule="auto" w:line="288" w:before="0" w:after="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(3)Adjusted operating margin is calculated as Adjusted operating income divided by Revenues.</w:t>
      </w:r>
    </w:p>
    <w:p>
      <w:pPr>
        <w:pStyle w:val="TextBody"/>
        <w:bidi w:val="0"/>
        <w:spacing w:lineRule="auto" w:line="288" w:before="0" w:after="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(4)Related to the impairment of an equity investment that was recorded to Other income (expense), net on the Consolidated Statements of Income.</w:t>
      </w:r>
    </w:p>
    <w:p>
      <w:pPr>
        <w:pStyle w:val="TextBody"/>
        <w:bidi w:val="0"/>
        <w:spacing w:lineRule="auto" w:line="288" w:before="0" w:after="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(5)For purposes of calculating Adjusted net income and Adjusted Diluted EPS, all adjustments were taxed at an adjusted tax rate of 22.9% and 26.0% for fiscal 2026 and fiscal 2025, respectively.</w:t>
      </w:r>
    </w:p>
    <w:p>
      <w:pPr>
        <w:pStyle w:val="TextBody"/>
        <w:bidi w:val="0"/>
        <w:spacing w:lineRule="auto" w:line="288" w:before="0" w:after="6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(6)Primarily related to the impairment of certain equity investments and the recognition, over their respective service periods, of one-time equity awards issued to our CEO.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4"/>
        </w:rPr>
      </w:pPr>
      <w:r>
        <w:rPr>
          <w:rFonts w:ascii="Times New Roman;serif" w:hAnsi="Times New Roman;serif"/>
          <w:b/>
          <w:color w:val="000000"/>
          <w:sz w:val="24"/>
        </w:rPr>
        <w:t>Liquidity and Capital Resources</w:t>
      </w:r>
    </w:p>
    <w:p>
      <w:pPr>
        <w:pStyle w:val="TextBody"/>
        <w:bidi w:val="0"/>
        <w:spacing w:lineRule="auto" w:line="288" w:before="200" w:after="200"/>
        <w:jc w:val="both"/>
        <w:rPr/>
      </w:pPr>
      <w:r>
        <w:rPr>
          <w:rFonts w:ascii="Times New Roman;serif" w:hAnsi="Times New Roman;serif"/>
          <w:b w:val="false"/>
          <w:color w:val="000000"/>
          <w:sz w:val="20"/>
        </w:rPr>
        <w:t xml:space="preserve">As of August 31, 2026, Cash and cash equivalents were $233.3 million and restricted cash was $6.3 million, compared with Cash and cash equivalents of $337.7 million and restricted cash of $14.0 million as of August 31, 2025. Refer to </w:t>
      </w:r>
      <w:r>
        <w:rPr>
          <w:rFonts w:ascii="Times New Roman;serif" w:hAnsi="Times New Roman;serif"/>
          <w:b w:val="false"/>
          <w:i/>
          <w:color w:val="000000"/>
          <w:sz w:val="20"/>
        </w:rPr>
        <w:t>Summary of Cash Flows</w:t>
      </w:r>
      <w:r>
        <w:rPr>
          <w:color w:val="000000"/>
        </w:rPr>
        <w:t xml:space="preserve"> </w:t>
      </w:r>
      <w:r>
        <w:rPr>
          <w:rFonts w:ascii="Times New Roman;serif" w:hAnsi="Times New Roman;serif"/>
          <w:b w:val="false"/>
          <w:color w:val="000000"/>
          <w:sz w:val="20"/>
        </w:rPr>
        <w:t xml:space="preserve">within this section below, for more information on cash flows during fiscal 2026 and 2025.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Cash and cash equivalents as of August 31, 2026 are held in numerous locations throughout the world, with $105.9 million in EMEA (with the largest balance held in the UK), $81.9 million in the Americas (with the largest balance held in the U.S.) and the remaining $45.5 million in Asia Pacific (with the largest balances held in the Philippines and India).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consider a portion of the unremitted earnings of our foreign subsidiaries and outside basis differences not related to those earnings to be permanently reinvested, where applicable. These unremitted earnings and outside basis differences could give rise to tax liabilities if ever remitted or if a foreign subsidiary was sold. As of August 31, 2026, it is not practicable to determine the deferred tax liability associated with such earnings or basis differences. In addition, we have not provided for deferred taxes on any outside basis differences of our domestic subsidiaries as we have the ability and intent to recover these basis differences in a tax-free manner.</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cash flows provided by operating activities, existing cash and cash equivalents, supplemented with our debt borrowings, have been sufficient to fund our operations while allowing us to invest in activities that support the long-term growth of our operations. Generally, some or all of our remaining available cash flows have been used to, among other things, service our existing and future debt obligations, satisfy our working capital requirements and fund various activities, including our capital expenditures, acquisitions, investments, dividend payments and repurchases of our common stock. Based on past performance and current expectations, we believe our sources of liquidity, including the available capacity under our existing revolving credit facility and other financing alternatives, will provide us the necessary capital to fund these transactions and achieve our planned growth for the next 12 months and the foreseeable future.</w:t>
      </w:r>
    </w:p>
    <w:p>
      <w:pPr>
        <w:pStyle w:val="TextBody"/>
        <w:bidi w:val="0"/>
        <w:spacing w:lineRule="auto" w:line="288" w:before="200" w:after="283"/>
        <w:jc w:val="both"/>
        <w:rPr>
          <w:rFonts w:ascii="Times New Roman;serif" w:hAnsi="Times New Roman;serif"/>
          <w:b/>
          <w:color w:val="000000"/>
          <w:sz w:val="22"/>
        </w:rPr>
      </w:pPr>
      <w:r>
        <w:rPr>
          <w:rFonts w:ascii="Times New Roman;serif" w:hAnsi="Times New Roman;serif"/>
          <w:b/>
          <w:color w:val="000000"/>
          <w:sz w:val="22"/>
        </w:rPr>
        <w:t>Sources of Liquidity</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Debt Agreements</w:t>
      </w:r>
    </w:p>
    <w:p>
      <w:pPr>
        <w:pStyle w:val="TextBody"/>
        <w:bidi w:val="0"/>
        <w:spacing w:lineRule="auto" w:line="288" w:before="200" w:after="200"/>
        <w:jc w:val="both"/>
        <w:rPr/>
      </w:pPr>
      <w:r>
        <w:rPr>
          <w:rFonts w:ascii="Times New Roman;serif" w:hAnsi="Times New Roman;serif"/>
          <w:b w:val="false"/>
          <w:color w:val="000000"/>
          <w:sz w:val="20"/>
        </w:rPr>
        <w:t xml:space="preserve">In addition to the discussion below, refer to Part II, Item 8. Note 10, </w:t>
      </w:r>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 xml:space="preserve">in the Notes to the Consolidated Financial Statements included in this Annual Report on Form 10-K for more information on our outstanding borrowings.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2025 Credit Agreement</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On April 8, 2025, we entered into a credit agreement (the "2025 Credit Agreement") under which we borrowed $500.0 million under a senior unsecured term loan credit facility (the "2025 Term Facility") and obtained a $1.0 billion senior unsecured revolving credit facility (the "2025 Revolving Facility"). The 2025 Revolving Facility, together with the 2025 Term Facility, are referred to as the "2025 Credit Facilities". The 2025 Credit Facilities contain incremental provisions that permit us to seek additional commitments of up to $1.0 billion under the 2025 Credit Facilities from lenders or other financial institutions. The 2025 Revolving Facility also provides for up to $100.0 million in the form of letters of credit and up to $100.0 million in the form of swingline loans.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On August 28, 2026, we entered into Amendment No. 1 (the “Amendment Agreement”) to the 2025 Credit Agreement, which primarily (a) extended the maturity date of the 2025 Term Facility from April 8, 2028 to August 28, 2029, (b) extended the maturity date of the 2025 Revolving Facility from April 8, 2030 to August 28, 2031 and increased the revolving commitments by $500.0 million to a total of $1.5 billion without reducing the capacity under the incremental facilities provisions described above, (c) removed the scheduled quarterly principal payment obligations with respect to the 2025 Term Facility and (d) removed the credit spread adjustment of 0.1% for borrowings under the 2025 Credit Facilities.</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Subsequent to the Amended Agreement, the 2025 Credit Facilities are not subject to any mandatory repayments. We may voluntarily prepay loans under the 2025 Credit Facilities at any time without premium or penalty. </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As of August 31, 2026, our outstanding debt under the 2025 Term Facility was $375.0 million and we had no outstanding borrowings under the 2025 Revolving Facility. Subsequent to August 31, 2026, we borrowed $90.0 million under the 2025 Revolving Facility.</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Following the Amendment Agreement and from August 28, 2026 through August 31, 2026, outstanding borrowings under the Credit Facilities bore interest at a rate equal to the applicable one-month Term SOFR plus a 0.875% interest rate margin, based on a pricing grid determined by reference to our senior unsecured non-credit enhanced long-term debt rating and our total leverage ratio. Interest on the 2025 Credit Facilities is currently payable on the last business day of each month, in arrears.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We continue to pay a commitment fee on the daily unused amount of the 2025 Revolving Facility using a pricing grid based on our senior unsecured non-credit enhanced long-term debt rating and our total leverage ratio. The commitment fee remained consistent at 0.1% from April 8, 2025 through August 31, 2026.</w:t>
      </w:r>
    </w:p>
    <w:p>
      <w:pPr>
        <w:pStyle w:val="TextBody"/>
        <w:bidi w:val="0"/>
        <w:spacing w:lineRule="auto" w:line="276"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2025 Credit Agreement contains usual and customary event of default provisions for facilities of this type, which are subject to usual and customary grace periods and materiality thresholds. If an event of default occurs under the 2025 Credit Agreement, the lenders may, among other things, terminate their commitments and declare all outstanding borrowings immediately due and payable.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2025 Credit Agreement contains usual and customary affirmative and negative covenants for facilities of this type, including a financial covenant requiring maintenance of a total leverage ratio of no greater than 3.75 to 1.00 as of the last day of each fiscal quarter (subject to an increase to 4.25 to 1.00 for five consecutive fiscal quarters in connection with certain material acquisitions). We were in compliance with all covenants and requirements of the 2025 Credit Agreement as of August 31, 2026.</w:t>
      </w:r>
    </w:p>
    <w:p>
      <w:pPr>
        <w:pStyle w:val="TextBody"/>
        <w:bidi w:val="0"/>
        <w:spacing w:lineRule="auto" w:line="268" w:before="200" w:after="200"/>
        <w:jc w:val="both"/>
        <w:rPr>
          <w:rFonts w:ascii="Times New Roman;serif" w:hAnsi="Times New Roman;serif"/>
          <w:b/>
          <w:color w:val="000000"/>
          <w:sz w:val="20"/>
        </w:rPr>
      </w:pPr>
      <w:r>
        <w:rPr>
          <w:rFonts w:ascii="Times New Roman;serif" w:hAnsi="Times New Roman;serif"/>
          <w:b/>
          <w:color w:val="000000"/>
          <w:sz w:val="20"/>
        </w:rPr>
        <w:t>Senior Notes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March 1, 2022, we completed a public offering issuing $500.0 million of 2.900% Senior Notes due March 1, 2027 (the "2027 Notes") and $500.0 million of 3.450% Senior Notes due March 1, 2032 (the "2032 Notes" and, together with the 2027 Notes, the "Senior Notes"). The Senior Notes were issued pursuant to an indenture, dated as of March 1, 2022, by and between us and U.S. Bank Trust Company, National Association, as trustee (the "Trustee"), as supplemented by the supplemental indenture, dated as of March 1, 2022, between us and the Trustee (the "Supplemental Indenture").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Interest on the Senior Notes is payable semiannually in arrears on March 1 and September 1 of each year.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may redeem the Senior Notes, in whole or in part, at any time at specified redemption prices, plus any accrued and unpaid interest. Upon the occurrence of a change of control triggering event (as defined in the Supplemental Indenture), we must offer to repurchase the Senior Notes at 101% of their principal amount, plus any accrued and unpaid interest.</w:t>
      </w:r>
    </w:p>
    <w:p>
      <w:pPr>
        <w:pStyle w:val="TextBody"/>
        <w:bidi w:val="0"/>
        <w:spacing w:lineRule="auto" w:line="268" w:before="200" w:after="200"/>
        <w:jc w:val="left"/>
        <w:rPr>
          <w:rFonts w:ascii="Times New Roman;serif" w:hAnsi="Times New Roman;serif"/>
          <w:b/>
          <w:color w:val="000000"/>
          <w:sz w:val="22"/>
        </w:rPr>
      </w:pPr>
      <w:r>
        <w:rPr>
          <w:rFonts w:ascii="Times New Roman;serif" w:hAnsi="Times New Roman;serif"/>
          <w:b/>
          <w:color w:val="000000"/>
          <w:sz w:val="22"/>
        </w:rPr>
        <w:t>Uses of Liquidity</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Returning Value to Stockholders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returned $808.1 million and $460.4 million to our stockholders in the form of share repurchases and dividends during fiscal 2026 and 2025, respectively. </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Share Repurchase Program</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may repurchase shares of our common stock under our share repurchase program from time-to-time in the open market or via privately negotiated transactions, subject to market conditions. During fiscal 2026 and 2025, we repurchased 2,608,284 shares for $644.0 million and 684,960 shares for $300.5 million, respectively.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There is no defined number of shares to be repurchased over a specified timeframe through the life of our share repurchase program. On June 17, 2025, our Board of Directors authorized up to $400 million for share repurchases on or after September 1, 2025. On December 16, 2025, our Board of Directors approved an additional $600 million in share repurchase authority, which is available immediately with no expiration date. The additional authorization also removed the expiration date from the June 17, 2025 authorization. As of August 31, 2026, $356.0 million remained available under our share repurchase program.</w:t>
      </w:r>
    </w:p>
    <w:p>
      <w:pPr>
        <w:pStyle w:val="TextBody"/>
        <w:bidi w:val="0"/>
        <w:spacing w:lineRule="auto" w:line="288" w:before="200" w:after="283"/>
        <w:jc w:val="both"/>
        <w:rPr/>
      </w:pPr>
      <w:r>
        <w:rPr>
          <w:rFonts w:ascii="Times New Roman;serif" w:hAnsi="Times New Roman;serif"/>
          <w:b w:val="false"/>
          <w:color w:val="000000"/>
          <w:sz w:val="20"/>
        </w:rPr>
        <w:t xml:space="preserve">Refer to Part II, Item 5. </w:t>
      </w:r>
      <w:r>
        <w:rPr>
          <w:rFonts w:ascii="Times New Roman;serif" w:hAnsi="Times New Roman;serif"/>
          <w:b w:val="false"/>
          <w:i/>
          <w:color w:val="000000"/>
          <w:sz w:val="20"/>
        </w:rPr>
        <w:t>Market For Registrant's Common Equity, Related Stockholder Matters and Issuer Purchases of Equity Securities</w:t>
      </w:r>
      <w:r>
        <w:rPr>
          <w:rFonts w:ascii="Times New Roman;serif" w:hAnsi="Times New Roman;serif"/>
          <w:b w:val="false"/>
          <w:color w:val="000000"/>
          <w:sz w:val="20"/>
        </w:rPr>
        <w:t xml:space="preserve">, of this Annual Report on Form 10-K for further discussion on our share repurchase program. </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Dividends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the third quarter of fiscal 2026, our Board of Directors approved a 5% increase in the regular quarterly dividend from $1.10 to $1.16 per share. Fiscal 2026 marks the 27th consecutive fiscal year we have increased dividends on a stock split-adjusted basis, highlighting our continued commitment to returning value to our stockholders.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During fiscal 2026 and 2025, we paid dividends of $164.2 million and $160.0 million, respectively. Future cash dividend payments are subject to final determination by our Board of Directors and will depend on our earnings, capital requirements, financial condition and other relevant factors.</w:t>
      </w:r>
    </w:p>
    <w:p>
      <w:pPr>
        <w:pStyle w:val="TextBody"/>
        <w:bidi w:val="0"/>
        <w:spacing w:lineRule="auto" w:line="288" w:before="200" w:after="200"/>
        <w:jc w:val="both"/>
        <w:rPr>
          <w:rFonts w:ascii="Times New Roman;serif" w:hAnsi="Times New Roman;serif"/>
          <w:b/>
          <w:color w:val="000000"/>
          <w:sz w:val="20"/>
        </w:rPr>
      </w:pPr>
      <w:r>
        <w:rPr>
          <w:rFonts w:ascii="Times New Roman;serif" w:hAnsi="Times New Roman;serif"/>
          <w:b/>
          <w:color w:val="000000"/>
          <w:sz w:val="20"/>
        </w:rPr>
        <w:t>Acquisitions</w:t>
      </w:r>
    </w:p>
    <w:p>
      <w:pPr>
        <w:pStyle w:val="TextBody"/>
        <w:bidi w:val="0"/>
        <w:spacing w:lineRule="auto" w:line="288" w:before="200" w:after="283"/>
        <w:jc w:val="both"/>
        <w:rPr/>
      </w:pPr>
      <w:r>
        <w:rPr>
          <w:rFonts w:ascii="Times New Roman;serif" w:hAnsi="Times New Roman;serif"/>
          <w:b w:val="false"/>
          <w:color w:val="000000"/>
          <w:sz w:val="20"/>
        </w:rPr>
        <w:t xml:space="preserve">Our acquisitions with the most significant cash flows from fiscal 2024 through fiscal 2026 included Liquid Holdings, LLC ("LiquidityBook") and Platform Group Limited ("Irwin"). Refer to Part II, Item 8. Note 5, </w:t>
      </w:r>
      <w:r>
        <w:rPr>
          <w:rFonts w:ascii="Times New Roman;serif" w:hAnsi="Times New Roman;serif"/>
          <w:b w:val="false"/>
          <w:i/>
          <w:color w:val="000000"/>
          <w:sz w:val="20"/>
        </w:rPr>
        <w:t xml:space="preserve">Acquisitions </w:t>
      </w:r>
      <w:r>
        <w:rPr>
          <w:rFonts w:ascii="Times New Roman;serif" w:hAnsi="Times New Roman;serif"/>
          <w:b w:val="false"/>
          <w:color w:val="000000"/>
          <w:sz w:val="20"/>
        </w:rPr>
        <w:t>in the Notes to the Consolidated Financial Statements included in this Annual Report on Form 10-K for further discussion on these acquisitions.</w:t>
      </w:r>
    </w:p>
    <w:p>
      <w:pPr>
        <w:pStyle w:val="TextBody"/>
        <w:bidi w:val="0"/>
        <w:spacing w:lineRule="auto" w:line="276" w:before="200" w:after="200"/>
        <w:jc w:val="both"/>
        <w:rPr>
          <w:rFonts w:ascii="Times New Roman;serif" w:hAnsi="Times New Roman;serif"/>
          <w:b w:val="false"/>
          <w:i/>
          <w:color w:val="000000"/>
          <w:sz w:val="20"/>
        </w:rPr>
      </w:pPr>
      <w:r>
        <w:rPr>
          <w:rFonts w:ascii="Times New Roman;serif" w:hAnsi="Times New Roman;serif"/>
          <w:b w:val="false"/>
          <w:i/>
          <w:color w:val="000000"/>
          <w:sz w:val="20"/>
        </w:rPr>
        <w:t>LiquidityBook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7, 2025, we completed the acquisition of LiquidityBook for a purchase price of $243.2 million, net of cash acquired, and inclusive of working capital adjustments. The purchase price included contingent consideration of $11.9 million, which reflects the acquisition date fair value of potential future payments that are contingent upon the achievement of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specified milestones. We finalized the purchase accounting for the LiquidityBook acquisition during the second quarter of fiscal 2026.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LiquidityBook provides cloud-native trading solutions to hedge fund, asset and wealth management, outsourced trading, and sell-side middle office clients. LiquidityBook operates a proprietary FIX network that enabled, as of the acquisition date, streamlined connectivity to over 200 brokers and order routing to more than 1,600 destinations across 80 markets globally. This acquisition adds technology-forward order management and investment book of record capabilities and enhances FactSet’s ability to serve the integrated workflow needs of clients across the portfolio life cycle.</w:t>
      </w:r>
    </w:p>
    <w:p>
      <w:pPr>
        <w:pStyle w:val="TextBody"/>
        <w:bidi w:val="0"/>
        <w:spacing w:lineRule="auto" w:line="276" w:before="200" w:after="200"/>
        <w:jc w:val="both"/>
        <w:rPr>
          <w:rFonts w:ascii="Times New Roman;serif" w:hAnsi="Times New Roman;serif"/>
          <w:b w:val="false"/>
          <w:i/>
          <w:color w:val="000000"/>
          <w:sz w:val="20"/>
        </w:rPr>
      </w:pPr>
      <w:r>
        <w:rPr>
          <w:rFonts w:ascii="Times New Roman;serif" w:hAnsi="Times New Roman;serif"/>
          <w:b w:val="false"/>
          <w:i/>
          <w:color w:val="000000"/>
          <w:sz w:val="20"/>
        </w:rPr>
        <w:t>Irwin</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5, 2024, we completed the acquisition of Irwin for a purchase price of $120.2 million, net of cash acquired, and inclusive of working capital adjustments. The purchase price included contingent consideration of $9.6 million, which reflects the acquisition date fair value of potential future payments that are contingent upon the achievement of certain specified milestones. We finalized the purchase accounting for the Irwin acquisition during the third quarter of fiscal 2025. </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Irwin is a leading investor relations and capital markets platform for public companies and their advisors. This acquisition builds on a successful partnership between FactSet and Irwin, and expands our ability to address the holistic workflow needs of investor relations professionals with an integrated, modern solution.</w:t>
      </w:r>
    </w:p>
    <w:p>
      <w:pPr>
        <w:pStyle w:val="TextBody"/>
        <w:bidi w:val="0"/>
        <w:spacing w:lineRule="auto" w:line="288" w:before="200" w:after="200"/>
        <w:jc w:val="both"/>
        <w:rPr>
          <w:rFonts w:ascii="Times New Roman;serif" w:hAnsi="Times New Roman;serif"/>
          <w:b/>
          <w:color w:val="000000"/>
          <w:sz w:val="20"/>
        </w:rPr>
      </w:pPr>
      <w:r>
        <w:rPr>
          <w:rFonts w:ascii="Times New Roman;serif" w:hAnsi="Times New Roman;serif"/>
          <w:b/>
          <w:color w:val="000000"/>
          <w:sz w:val="20"/>
        </w:rPr>
        <w:t>Contractual Obligations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Purchase obligations represent our legally-binding agreements to purchase fixed or minimum quantities at determinable prices. As of August 31, 2026 and 2025, we had total purchase obligations with suppliers and vendors of approximately $360 million and $352 million, respectively. Our total purchase obligations as of August 31, 2026 primarily relate to the acquisition of data, hosting services, and, to a lesser extent, third-party software providers.</w:t>
      </w:r>
    </w:p>
    <w:p>
      <w:pPr>
        <w:pStyle w:val="TextBody"/>
        <w:bidi w:val="0"/>
        <w:spacing w:lineRule="auto" w:line="288" w:before="200" w:after="283"/>
        <w:jc w:val="both"/>
        <w:rPr/>
      </w:pPr>
      <w:r>
        <w:rPr>
          <w:rFonts w:ascii="Times New Roman;serif" w:hAnsi="Times New Roman;serif"/>
          <w:b w:val="false"/>
          <w:color w:val="000000"/>
          <w:sz w:val="20"/>
        </w:rPr>
        <w:t xml:space="preserve">We also have contractual obligations related to our lease liabilities and outstanding debt. Refer to Part II, Item 8. Note 9, </w:t>
      </w:r>
      <w:r>
        <w:rPr>
          <w:rFonts w:ascii="Times New Roman;serif" w:hAnsi="Times New Roman;serif"/>
          <w:b w:val="false"/>
          <w:i/>
          <w:color w:val="000000"/>
          <w:sz w:val="20"/>
        </w:rPr>
        <w:t>Leases</w:t>
      </w:r>
      <w:r>
        <w:rPr>
          <w:color w:val="000000"/>
        </w:rPr>
        <w:t xml:space="preserve"> </w:t>
      </w:r>
      <w:r>
        <w:rPr>
          <w:rFonts w:ascii="Times New Roman;serif" w:hAnsi="Times New Roman;serif"/>
          <w:b w:val="false"/>
          <w:color w:val="000000"/>
          <w:sz w:val="20"/>
        </w:rPr>
        <w:t xml:space="preserve">and Note 10, </w:t>
      </w:r>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in the Notes to the Consolidated Financial Statements included in this Annual Report on Form 10-K for information regarding our lease commitments and outstanding debt obligations, respectively.</w:t>
      </w:r>
    </w:p>
    <w:p>
      <w:pPr>
        <w:pStyle w:val="TextBody"/>
        <w:bidi w:val="0"/>
        <w:spacing w:lineRule="auto" w:line="276" w:before="200" w:after="283"/>
        <w:jc w:val="both"/>
        <w:rPr>
          <w:rFonts w:ascii="Times New Roman;serif" w:hAnsi="Times New Roman;serif"/>
          <w:b/>
          <w:color w:val="000000"/>
          <w:sz w:val="22"/>
        </w:rPr>
      </w:pPr>
      <w:r>
        <w:rPr>
          <w:rFonts w:ascii="Times New Roman;serif" w:hAnsi="Times New Roman;serif"/>
          <w:b/>
          <w:color w:val="000000"/>
          <w:sz w:val="22"/>
        </w:rPr>
        <w:t>Summary of Cash Flows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our net cash flow activity for the fiscal years presented:</w:t>
      </w:r>
    </w:p>
    <w:tbl>
      <w:tblPr>
        <w:tblW w:w="9858" w:type="dxa"/>
        <w:jc w:val="left"/>
        <w:tblInd w:w="0" w:type="dxa"/>
        <w:tblLayout w:type="fixed"/>
        <w:tblCellMar>
          <w:top w:w="28" w:type="dxa"/>
          <w:left w:w="28" w:type="dxa"/>
          <w:bottom w:w="28" w:type="dxa"/>
          <w:right w:w="28" w:type="dxa"/>
        </w:tblCellMar>
      </w:tblPr>
      <w:tblGrid>
        <w:gridCol w:w="2292"/>
        <w:gridCol w:w="2015"/>
        <w:gridCol w:w="2023"/>
        <w:gridCol w:w="211"/>
        <w:gridCol w:w="901"/>
        <w:gridCol w:w="109"/>
        <w:gridCol w:w="211"/>
        <w:gridCol w:w="826"/>
        <w:gridCol w:w="109"/>
        <w:gridCol w:w="211"/>
        <w:gridCol w:w="796"/>
        <w:gridCol w:w="154"/>
      </w:tblGrid>
      <w:tr>
        <w:trPr/>
        <w:tc>
          <w:tcPr>
            <w:tcW w:w="2292"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 ended August 31,</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 amounts in thousands)</w:t>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 Change</w:t>
            </w:r>
          </w:p>
        </w:tc>
      </w:tr>
      <w:tr>
        <w:trPr/>
        <w:tc>
          <w:tcPr>
            <w:tcW w:w="633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822,200 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726,260 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95,940 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(392,773)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(799,447)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(407,821)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(112,060)</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(71,284)</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(40,776)</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Operating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fiscal 2026, net cash provided by operating activities was $822.2 million, which included net income of $533.5 million, non-cash charges of $300.3 million and a net cash outflow of $11.6 million to support our working capital requirements. The non-cash charges were primarily driven by depreciation and amortization.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fiscal 2025, net cash provided by operating activities was $726.3 million, which included net income of $597.0 million, non-cash charges of $235.0 million and a net cash outflow of $105.7 million to support our working capital requirements. The non-cash charges were primarily driven by depreciation and amortization. The change in our working capital was primarily driven by cash outflows related to payments to resolve the Sales Tax Dispute, timing of vendor payments and client collections, as well as lease payments.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Investing</w:t>
      </w:r>
    </w:p>
    <w:p>
      <w:pPr>
        <w:pStyle w:val="TextBody"/>
        <w:bidi w:val="0"/>
        <w:spacing w:lineRule="auto" w:line="288" w:before="200" w:after="283"/>
        <w:jc w:val="both"/>
        <w:rPr/>
      </w:pPr>
      <w:r>
        <w:rPr>
          <w:rFonts w:ascii="Times New Roman;serif" w:hAnsi="Times New Roman;serif"/>
          <w:b w:val="false"/>
          <w:color w:val="000000"/>
          <w:sz w:val="20"/>
        </w:rPr>
        <w:t>For fiscal 2026, net cash used in investing activities was $132.5 million. The cash used in investing activities primarily consisted of $114.7 million of</w:t>
      </w:r>
      <w:r>
        <w:rPr>
          <w:color w:val="008080"/>
        </w:rPr>
        <w:t xml:space="preserve"> </w:t>
      </w:r>
      <w:r>
        <w:rPr>
          <w:rFonts w:ascii="Times New Roman;serif" w:hAnsi="Times New Roman;serif"/>
          <w:b w:val="false"/>
          <w:color w:val="000000"/>
          <w:sz w:val="20"/>
        </w:rPr>
        <w:t>capital expenditures mainly due to the capitalization of internal-use software development costs.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fiscal 2025, net cash used in investing activities was $392.8 million. The cash used in investing activities primarily consisted of $348.3 million of acquisition-related consideration related mainly to the Irwin and LiquidityBook transactions and $108.8 million of capital expenditures mainly driven by the capitalization of internal-use software development costs, partially offset by $58.2 million in proceeds from our investments in mutual funds. </w:t>
      </w:r>
    </w:p>
    <w:p>
      <w:pPr>
        <w:pStyle w:val="TextBody"/>
        <w:bidi w:val="0"/>
        <w:spacing w:lineRule="auto" w:line="288" w:before="200" w:after="200"/>
        <w:jc w:val="both"/>
        <w:rPr>
          <w:rFonts w:ascii="Times New Roman;serif" w:hAnsi="Times New Roman;serif"/>
          <w:b/>
          <w:color w:val="000000"/>
          <w:sz w:val="20"/>
        </w:rPr>
      </w:pPr>
      <w:r>
        <w:rPr>
          <w:rFonts w:ascii="Times New Roman;serif" w:hAnsi="Times New Roman;serif"/>
          <w:b/>
          <w:color w:val="000000"/>
          <w:sz w:val="20"/>
        </w:rPr>
        <w:t>Financing</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For fiscal 2026, net cash used in financing activities was $799.4 million, consisting mainly of $644.0 million of share repurchases and $164.2 million of dividend payments.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For fiscal 2025, net cash used in financing activities was $407.8 million, consisting mainly of $805.0 million related primarily to the repayment of the 2022 Credit Facilities, $300.5 million of share repurchases and $160.0 million of dividend payments, partially offset by $803.4 million of proceeds from borrowings under the 2025 Term Facility and the 2022 Revolving Facility, in periods prior to its termination, and $81.7 million of proceeds from employee stock plans.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Free Cash Flow</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We define free cash flow, a non-GAAP financial measure, as cash provided by operating activities less purchases of property, equipment and leasehold improvements ("PPE") and capitalized internal-use software. We believe free cash flow is a liquidity measure that provides useful information to management and investors about the amount of cash generated by the business that, after capital expenditures, may be available to pay debt obligations, make strategic acquisitions and investments, pay dividends, repurchase stock, and strengthen the balance sheet. Free cash flow should be considered in addition to consolidated net income and net cash provided by operating activities, but should not be used as a substitute for these key measures of our performance and liquidity.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our net cash provided by operating activities to free cash flow:</w:t>
      </w:r>
    </w:p>
    <w:tbl>
      <w:tblPr>
        <w:tblW w:w="10205" w:type="dxa"/>
        <w:jc w:val="left"/>
        <w:tblInd w:w="0" w:type="dxa"/>
        <w:tblLayout w:type="fixed"/>
        <w:tblCellMar>
          <w:top w:w="28" w:type="dxa"/>
          <w:left w:w="28" w:type="dxa"/>
          <w:bottom w:w="28" w:type="dxa"/>
          <w:right w:w="28" w:type="dxa"/>
        </w:tblCellMar>
      </w:tblPr>
      <w:tblGrid>
        <w:gridCol w:w="2407"/>
        <w:gridCol w:w="2042"/>
        <w:gridCol w:w="2050"/>
        <w:gridCol w:w="211"/>
        <w:gridCol w:w="826"/>
        <w:gridCol w:w="109"/>
        <w:gridCol w:w="109"/>
        <w:gridCol w:w="109"/>
        <w:gridCol w:w="109"/>
        <w:gridCol w:w="211"/>
        <w:gridCol w:w="826"/>
        <w:gridCol w:w="109"/>
        <w:gridCol w:w="211"/>
        <w:gridCol w:w="721"/>
        <w:gridCol w:w="155"/>
      </w:tblGrid>
      <w:tr>
        <w:trPr/>
        <w:tc>
          <w:tcPr>
            <w:tcW w:w="2407"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 ended August 31,</w:t>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(dollar amounts 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w:t>
            </w:r>
          </w:p>
        </w:tc>
      </w:tr>
      <w:tr>
        <w:trPr/>
        <w:tc>
          <w:tcPr>
            <w:tcW w:w="64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822,200 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726,260 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95,940 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purchases of property, equipment, leasehold improvements and capitalized internal-use software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707,480 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617,454 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90,026 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4"/>
        </w:rPr>
      </w:pPr>
      <w:r>
        <w:rPr>
          <w:rFonts w:ascii="Times New Roman;serif" w:hAnsi="Times New Roman;serif"/>
          <w:b/>
          <w:color w:val="000000"/>
          <w:sz w:val="24"/>
        </w:rPr>
        <w:t>Off-Balance Sheet Arrangements</w:t>
      </w:r>
    </w:p>
    <w:p>
      <w:pPr>
        <w:pStyle w:val="TextBody"/>
        <w:bidi w:val="0"/>
        <w:spacing w:lineRule="auto" w:line="288" w:before="200" w:after="283"/>
        <w:jc w:val="both"/>
        <w:rPr/>
      </w:pPr>
      <w:r>
        <w:rPr>
          <w:rFonts w:ascii="Times New Roman;serif" w:hAnsi="Times New Roman;serif"/>
          <w:b w:val="false"/>
          <w:color w:val="000000"/>
          <w:sz w:val="20"/>
        </w:rPr>
        <w:t xml:space="preserve">As of August 31, 2026 and August 31, 2025, we had no off-balance sheet financing other than letters of credit incurred in the ordinary course of business. Refer to Part II, Item 8. Note 10, </w:t>
      </w:r>
      <w:r>
        <w:rPr>
          <w:rFonts w:ascii="Times New Roman;serif" w:hAnsi="Times New Roman;serif"/>
          <w:b w:val="false"/>
          <w:i/>
          <w:color w:val="000000"/>
          <w:sz w:val="20"/>
        </w:rPr>
        <w:t xml:space="preserve">Debt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 xml:space="preserve">Note 11, </w:t>
      </w:r>
      <w:r>
        <w:rPr>
          <w:rFonts w:ascii="Times New Roman;serif" w:hAnsi="Times New Roman;serif"/>
          <w:b w:val="false"/>
          <w:i/>
          <w:color w:val="000000"/>
          <w:sz w:val="20"/>
        </w:rPr>
        <w:t xml:space="preserve">Commitments and Contingencies </w:t>
      </w:r>
      <w:r>
        <w:rPr>
          <w:rFonts w:ascii="Times New Roman;serif" w:hAnsi="Times New Roman;serif"/>
          <w:b w:val="false"/>
          <w:color w:val="000000"/>
          <w:sz w:val="20"/>
        </w:rPr>
        <w:t xml:space="preserve">in the Notes to the Consolidated Financial Statements included in this Annual Report on Form 10-K for more information on our letters of credit.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August 31, 2026 and August 31, 2025, we also had no other arrangements with unconsolidated entities or financial partnerships (such as entities often referred to as structured finance or special purpose entities) established for purposes of facilitating off-balance sheet financing, other debt arrangements, or other contractually limited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4"/>
        </w:rPr>
      </w:pPr>
      <w:r>
        <w:rPr>
          <w:rFonts w:ascii="Times New Roman;serif" w:hAnsi="Times New Roman;serif"/>
          <w:b/>
          <w:color w:val="000000"/>
          <w:sz w:val="24"/>
        </w:rPr>
        <w:t>Foreign Currency Exposure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we operate globally, we are exposed to the risk that our financial condition, results of operations and cash flows could be impacted by changes in foreign currency exchange rates. During fiscal 2026 and 2025, we maintained a series of foreign currency forward contracts to hedge a portion of our projected operating expenses in our primary currency exposures, namely the British Pound Sterling, Euro, Indian Rupee, and Philippine Peso. As of August 31, 2026, the hedge maturity periods of our outstanding foreign currency forward contracts range from the first quarter of fiscal 2027 through the fourth quarter of fiscal 2027. </w:t>
      </w:r>
    </w:p>
    <w:p>
      <w:pPr>
        <w:pStyle w:val="TextBody"/>
        <w:bidi w:val="0"/>
        <w:spacing w:lineRule="auto" w:line="288" w:before="200" w:after="283"/>
        <w:jc w:val="both"/>
        <w:rPr/>
      </w:pPr>
      <w:r>
        <w:rPr>
          <w:rFonts w:ascii="Times New Roman;serif" w:hAnsi="Times New Roman;serif"/>
          <w:b w:val="false"/>
          <w:color w:val="000000"/>
          <w:sz w:val="20"/>
        </w:rPr>
        <w:t xml:space="preserve">Refer to Part II, Item 7A. </w:t>
      </w:r>
      <w:r>
        <w:rPr>
          <w:rFonts w:ascii="Times New Roman;serif" w:hAnsi="Times New Roman;serif"/>
          <w:b w:val="false"/>
          <w:i/>
          <w:color w:val="000000"/>
          <w:sz w:val="20"/>
        </w:rPr>
        <w:t>Quantitative and Qualitative Disclosures About Market Risk</w:t>
      </w:r>
      <w:r>
        <w:rPr>
          <w:color w:val="000000"/>
        </w:rPr>
        <w:t xml:space="preserve"> </w:t>
      </w:r>
      <w:r>
        <w:rPr>
          <w:rFonts w:ascii="Times New Roman;serif" w:hAnsi="Times New Roman;serif"/>
          <w:b w:val="false"/>
          <w:color w:val="000000"/>
          <w:sz w:val="20"/>
        </w:rPr>
        <w:t>in this Annual Report on Form 10-K for more information on our foreign currency exposures.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color w:val="000000"/>
          <w:sz w:val="24"/>
        </w:rPr>
      </w:pPr>
      <w:r>
        <w:rPr>
          <w:rFonts w:ascii="Times New Roman;serif" w:hAnsi="Times New Roman;serif"/>
          <w:b/>
          <w:color w:val="000000"/>
          <w:sz w:val="24"/>
        </w:rPr>
        <w:t>Critical Accounting Estimates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prepare the Consolidated Financial Statements in conformity with GAAP, which requires us to make certain estimates and apply judgments that affect the reported amounts of assets, liabilities, revenues and expenses and related disclosures. We base our estimates on historical experience and other assumptions that we believe to be reasonable at the time the Consolidated Financial Statements are prepared and, as such, they may ultimately differ materially from actual results.</w:t>
      </w:r>
    </w:p>
    <w:p>
      <w:pPr>
        <w:pStyle w:val="TextBody"/>
        <w:bidi w:val="0"/>
        <w:spacing w:lineRule="auto" w:line="288" w:before="200" w:after="283"/>
        <w:jc w:val="both"/>
        <w:rPr/>
      </w:pPr>
      <w:r>
        <w:rPr>
          <w:rFonts w:ascii="Times New Roman;serif" w:hAnsi="Times New Roman;serif"/>
          <w:b w:val="false"/>
          <w:color w:val="000000"/>
          <w:sz w:val="20"/>
        </w:rPr>
        <w:t xml:space="preserve">We describe our significant accounting policies in Part II, Item 8. Note 2, </w:t>
      </w:r>
      <w:r>
        <w:rPr>
          <w:rFonts w:ascii="Times New Roman;serif" w:hAnsi="Times New Roman;serif"/>
          <w:b w:val="false"/>
          <w:i/>
          <w:color w:val="000000"/>
          <w:sz w:val="20"/>
        </w:rPr>
        <w:t>Summary of Significant Accounting Policies</w:t>
      </w:r>
      <w:r>
        <w:rPr>
          <w:color w:val="000000"/>
        </w:rPr>
        <w:t xml:space="preserve"> </w:t>
      </w:r>
      <w:r>
        <w:rPr>
          <w:rFonts w:ascii="Times New Roman;serif" w:hAnsi="Times New Roman;serif"/>
          <w:b w:val="false"/>
          <w:color w:val="000000"/>
          <w:sz w:val="20"/>
        </w:rPr>
        <w:t xml:space="preserve">in the Notes to the Consolidated Financial Statements included in this Annual Report on Form 10-K.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Audit Committee of our Board of Directors reviews the development and selection of our critical accounting estimates. The critical accounting estimates and judgments that we believe to have the most significant impacts to our Consolidated Financial Statements are described below.</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are subject to taxation in the U.S. and various state, local and foreign jurisdictions in which we conduct our business. Our provision for income taxes is an estimate based on our understanding of laws in these federal, state, local and foreign tax jurisdictions. These laws can be complicated and are difficult to apply to any business. The tax laws also require us to allocate our taxable income to many jurisdictions based on subjective allocation methodologies and information collection processes.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provision for income taxes is subject to volatility and could be adversely impacted by numerous factors such as changes in earnings, tax laws, regulations or accounting principles, including accounting for uncertain tax positions or interpretations of them. Significant judgment is required in determining our provision for income taxes, deferred tax assets and liabilities and unrecognized tax benefits.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Further, as a result of certain ongoing employment and capital investment actions and commitments, our income in certain countries is subject to reduced tax rates. Our failure to meet these employment and capital investment actions and commitments could adversely affect our provision for income taxes. In addition, we are subject to the continuous examination of our income tax returns by the Internal Revenue Service and other tax authorities. We regularly assess the likelihood of adverse outcomes resulting from these examinations to determine the adequacy of our provision for income taxes. There can be no assurance that the outcomes from these continuous examinations will not adversely impact our operating results and financial condition. </w:t>
      </w:r>
    </w:p>
    <w:p>
      <w:pPr>
        <w:pStyle w:val="TextBody"/>
        <w:bidi w:val="0"/>
        <w:spacing w:lineRule="auto" w:line="288" w:before="200" w:after="283"/>
        <w:jc w:val="both"/>
        <w:rPr/>
      </w:pPr>
      <w:r>
        <w:rPr>
          <w:rFonts w:ascii="Times New Roman;serif" w:hAnsi="Times New Roman;serif"/>
          <w:b w:val="false"/>
          <w:color w:val="000000"/>
          <w:sz w:val="20"/>
        </w:rPr>
        <w:t xml:space="preserve">Significant judgment is required in determining our uncertain tax positions. We follow a two-step approach in recognizing and measuring uncertain tax positions. The first step is to evaluate the tax position for recognition by determining if the weight of available evidence indicates that it is more likely than not (defined as a likelihood of more than 50%) that a tax position will be sustained based on its technical merits as of the reporting date. The second step, for those positions that meet the recognition criteria, is to measure and recognize the largest amount of benefit that is greater than 50% likely of being realized upon effective settlement with a taxing authority. As the determination of liabilities related to uncertain tax positions and associated interest and penalties requires significant estimates and assumptions, there can be no assurance that we will accurately predict the outcomes of these audits. For this reason and due to ongoing audits by multiple tax authorities, we regularly engage in discussions and negotiations with tax authorities regarding tax matters in various jurisdictions. We adjust these reserves in light of changing facts and circumstances, such as the closing of a tax audit or the refinement of an estimate. To the extent that the final outcome of these matters is different than the amounts recorded, such differences will affect the provision for income taxes in the period in which such determination is made. </w:t>
      </w:r>
      <w:r>
        <w:rPr>
          <w:rFonts w:ascii="Times New Roman;serif" w:hAnsi="Times New Roman;serif"/>
          <w:b w:val="false"/>
          <w:color w:val="212121"/>
          <w:sz w:val="20"/>
        </w:rPr>
        <w:t xml:space="preserve">We accrue interest on all tax exposures for which reserves have been established consistent with jurisdictional tax laws. </w:t>
      </w:r>
      <w:r>
        <w:rPr>
          <w:rFonts w:ascii="Times New Roman;serif" w:hAnsi="Times New Roman;serif"/>
          <w:b w:val="false"/>
          <w:color w:val="000000"/>
          <w:sz w:val="20"/>
        </w:rPr>
        <w:t xml:space="preserve">The Provision for income taxes on our Consolidated Statements of Income includes the impact of changes to reserves and any related interest. We have no reason to believe that such audits will result in the payment of additional taxes and/or penalties that would have a material adverse effect on our results of operations or financial position, beyond current estimates. </w:t>
      </w:r>
    </w:p>
    <w:p>
      <w:pPr>
        <w:pStyle w:val="TextBody"/>
        <w:bidi w:val="0"/>
        <w:spacing w:lineRule="auto" w:line="288" w:before="200" w:after="283"/>
        <w:jc w:val="both"/>
        <w:rPr/>
      </w:pPr>
      <w:r>
        <w:rPr>
          <w:rFonts w:ascii="Times New Roman;serif" w:hAnsi="Times New Roman;serif"/>
          <w:b w:val="false"/>
          <w:color w:val="000000"/>
          <w:sz w:val="20"/>
        </w:rPr>
        <w:t xml:space="preserve">Refer to Part II, Item 8. Note 8,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in the Notes to the Consolidated Financial Statements included in this Annual Report on Form 10-K for further information.</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Stock-based Compensation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measure and recognize stock-based compensation expense for all stock-based awards and purchases of common stock under the employee stock purchase plan ("ESPP") based on their estimated grant date fair value.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use a lattice-based option-pricing model ("lattice model") to estimate the grant date fair value for our employee stock options. For our CEO stock options with performance conditions ("PSOs"), grant date fair value was estimated using a Monte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Carlo simulation ("Monte Carlo model"). The grant date fair value for non-employee director stock options and common stock purchased by eligible employees under our ESPP is estimated using a Black-Scholes model.</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lattice model, Black-Scholes model, and Monte Carlo model each require certain estimates and assumptions, including the risk-free interest rate, expected volatility, and dividend yield. The Black-Scholes and Monte Carlo models incorporate an assumed expected life of the award, while the lattice model derives the expected life as an output incorporating assumptions such as vesting restrictions and expected exercise patterns based on the intrinsic value of the options.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primary assumptions and their definitions are as follows:</w:t>
      </w:r>
    </w:p>
    <w:p>
      <w:pPr>
        <w:pStyle w:val="TextBody"/>
        <w:bidi w:val="0"/>
        <w:spacing w:lineRule="auto" w:line="288" w:before="200" w:after="283"/>
        <w:ind w:left="0" w:right="0" w:hanging="360"/>
        <w:jc w:val="both"/>
        <w:rPr/>
      </w:pPr>
      <w:r>
        <w:rPr>
          <w:color w:val="000000"/>
        </w:rPr>
        <w:t>•</w:t>
      </w:r>
      <w:r>
        <w:rPr>
          <w:rFonts w:ascii="Times New Roman;serif" w:hAnsi="Times New Roman;serif"/>
          <w:b/>
          <w:i/>
          <w:color w:val="000000"/>
          <w:sz w:val="20"/>
        </w:rPr>
        <w:t>Risk-free interest rate</w:t>
      </w:r>
      <w:r>
        <w:rPr>
          <w:color w:val="000000"/>
        </w:rPr>
        <w:t xml:space="preserve"> </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 xml:space="preserve">based on the U.S. Treasury yield curve in effect at the time of grant with maturities equal to the expected terms of the stock-based awards granted. </w:t>
      </w:r>
    </w:p>
    <w:p>
      <w:pPr>
        <w:pStyle w:val="TextBody"/>
        <w:bidi w:val="0"/>
        <w:spacing w:lineRule="auto" w:line="288" w:before="100" w:after="283"/>
        <w:ind w:left="0" w:right="0" w:hanging="360"/>
        <w:jc w:val="both"/>
        <w:rPr/>
      </w:pPr>
      <w:r>
        <w:rPr>
          <w:color w:val="000000"/>
        </w:rPr>
        <w:t>•</w:t>
      </w:r>
      <w:r>
        <w:rPr>
          <w:rFonts w:ascii="Times New Roman;serif" w:hAnsi="Times New Roman;serif"/>
          <w:b/>
          <w:i/>
          <w:color w:val="000000"/>
          <w:sz w:val="20"/>
        </w:rPr>
        <w:t>Expected volatility</w:t>
      </w:r>
      <w:r>
        <w:rPr>
          <w:color w:val="000000"/>
        </w:rPr>
        <w:t xml:space="preserve"> </w:t>
      </w:r>
      <w:r>
        <w:rPr>
          <w:rFonts w:ascii="Times New Roman;serif" w:hAnsi="Times New Roman;serif"/>
          <w:b w:val="false"/>
          <w:color w:val="000000"/>
          <w:sz w:val="20"/>
        </w:rPr>
        <w:t xml:space="preserve">- based on a blend of historical volatility of the stock-based award's useful life and the weighted average implied volatility for call option contracts traded in the 90 days preceding the stock-based award's valuation date. </w:t>
      </w:r>
    </w:p>
    <w:p>
      <w:pPr>
        <w:pStyle w:val="TextBody"/>
        <w:bidi w:val="0"/>
        <w:spacing w:lineRule="auto" w:line="288" w:before="100" w:after="283"/>
        <w:ind w:left="0" w:right="0" w:hanging="360"/>
        <w:jc w:val="both"/>
        <w:rPr/>
      </w:pPr>
      <w:r>
        <w:rPr>
          <w:color w:val="000000"/>
        </w:rPr>
        <w:t>•</w:t>
      </w:r>
      <w:r>
        <w:rPr>
          <w:rFonts w:ascii="Times New Roman;serif" w:hAnsi="Times New Roman;serif"/>
          <w:b/>
          <w:i/>
          <w:color w:val="000000"/>
          <w:sz w:val="20"/>
        </w:rPr>
        <w:t>Dividend yield</w:t>
      </w:r>
      <w:r>
        <w:rPr>
          <w:color w:val="000000"/>
        </w:rPr>
        <w:t xml:space="preserve"> </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 xml:space="preserve">the expectation of dividend payouts based on our history. </w:t>
      </w:r>
    </w:p>
    <w:p>
      <w:pPr>
        <w:pStyle w:val="TextBody"/>
        <w:bidi w:val="0"/>
        <w:spacing w:lineRule="auto" w:line="288" w:before="100" w:after="283"/>
        <w:ind w:left="0" w:right="0" w:hanging="360"/>
        <w:jc w:val="both"/>
        <w:rPr/>
      </w:pPr>
      <w:r>
        <w:rPr>
          <w:color w:val="000000"/>
        </w:rPr>
        <w:t>•</w:t>
      </w:r>
      <w:r>
        <w:rPr>
          <w:rFonts w:ascii="Times New Roman;serif" w:hAnsi="Times New Roman;serif"/>
          <w:b/>
          <w:i/>
          <w:color w:val="000000"/>
          <w:sz w:val="20"/>
        </w:rPr>
        <w:t>Expected life</w:t>
      </w:r>
      <w:r>
        <w:rPr>
          <w:color w:val="000000"/>
        </w:rPr>
        <w:t xml:space="preserve"> </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the weighted average period the stock-based awards are expected to remain outstanding.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our performance share units ("PSUs"), management makes quarterly assessments of the probability of achieving specified performance criteria established at the time of grant. The ultimate number of common shares that may be earned from a PSU is determined pursuant to a payout range based on the achievement of specified performance levels.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estimate expected forfeitures of equity awards at the date of grant and recognize compensation expense only for those awards expected to vest. The forfeiture assumption is revised if actual forfeitures differ from those estimates.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assumptions we use to calculate and account for stock-based compensation awards represent management's best estimates, which involve inherent uncertainties. As a result, if we revise our assumptions and estimates, our stock-based compensation expense could differ from amounts recorded. </w:t>
      </w:r>
    </w:p>
    <w:p>
      <w:pPr>
        <w:pStyle w:val="TextBody"/>
        <w:bidi w:val="0"/>
        <w:spacing w:lineRule="auto" w:line="288" w:before="200" w:after="283"/>
        <w:jc w:val="both"/>
        <w:rPr/>
      </w:pPr>
      <w:r>
        <w:rPr>
          <w:rFonts w:ascii="Times New Roman;serif" w:hAnsi="Times New Roman;serif"/>
          <w:b w:val="false"/>
          <w:color w:val="000000"/>
          <w:sz w:val="20"/>
        </w:rPr>
        <w:t xml:space="preserve">Refer to Part II, Item 8. Note 14, </w:t>
      </w:r>
      <w:r>
        <w:rPr>
          <w:rFonts w:ascii="Times New Roman;serif" w:hAnsi="Times New Roman;serif"/>
          <w:b w:val="false"/>
          <w:i/>
          <w:color w:val="000000"/>
          <w:sz w:val="20"/>
        </w:rPr>
        <w:t>Stock-Based Compensation</w:t>
      </w:r>
      <w:r>
        <w:rPr>
          <w:color w:val="000000"/>
        </w:rPr>
        <w:t xml:space="preserve"> </w:t>
      </w:r>
      <w:r>
        <w:rPr>
          <w:rFonts w:ascii="Times New Roman;serif" w:hAnsi="Times New Roman;serif"/>
          <w:b w:val="false"/>
          <w:color w:val="000000"/>
          <w:sz w:val="20"/>
        </w:rPr>
        <w:t>in the Notes to the Consolidated Financial Statements included in this Annual Report on Form 10-K for further information.</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Goodwill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Goodwill represents the excess of the purchase price over the fair value of identifiable net assets acquired at the acquisition date. Goodwill is not amortized as it is estimated to have an indefinite life. We test goodwill annually for impairment during the fourth quarter of each fiscal year or more frequently if events and circumstances occur indicating that it is more likely than not that the fair value of any one of our reporting units is less than its respective carrying value. Impairment is tested at the reporting unit level and if the carrying value of the reporting unit exceeds the fair value, then the goodwill is considered impaired and written down to the reporting unit’s fair value. The impairment loss for the reporting unit cannot exceed the carrying value of the goodwill allocated to that reporting unit.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may elect to perform a qualitative analysis for the reporting units to determine whether it is more likely than not (a likelihood of more than 50%) that the fair value of the reporting unit is less than its carrying value. In performing a qualitative assessment, we consider macro-economic conditions, industry and market considerations, including the competitive environment and significant changes in demand for our products or services, internal cost factors, and our own overall financial and share price performance, among other factors. If the qualitative analysis indicates that it is more likely than not the fair value of a reporting unit is less than its carrying value, or when we elect to do so on a periodic basis, we proceed directly to a quantitative analysis to determine whether a goodwill impairment exists.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quantitative goodwill impairment analysis is used to identify potential impairment by comparing the carrying value of a reporting unit with its fair value. To perform this analysis, we apply the income approach which utilizes discounted cash flows and other relevant market information. Significant judgment is involved in determining the assumptions used in estimating future cash flows, such as: expected sales, working capital needs to support each reporting unit, capital expenditures and related depreciation and amortization, operating expenses, expected tax rates and the weighted average cost of capital for each reporting unit. Our cost of capital is based on assumptions about interest rates, as well as a risk-adjusted rate of return required by our equity investors. These estimates and judgments are critical, as they directly influence the calculated fair value of our reporting units and, consequently, the results of our goodwill impairment assessment.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pPr>
      <w:r>
        <w:rPr>
          <w:rFonts w:ascii="Times New Roman;serif" w:hAnsi="Times New Roman;serif"/>
          <w:b w:val="false"/>
          <w:color w:val="000000"/>
          <w:sz w:val="20"/>
        </w:rPr>
        <w:t xml:space="preserve">Refer to Part II, Item 8. Note 6, </w:t>
      </w:r>
      <w:r>
        <w:rPr>
          <w:rFonts w:ascii="Times New Roman;serif" w:hAnsi="Times New Roman;serif"/>
          <w:b w:val="false"/>
          <w:i/>
          <w:color w:val="000000"/>
          <w:sz w:val="20"/>
        </w:rPr>
        <w:t xml:space="preserve">Goodwill </w:t>
      </w:r>
      <w:r>
        <w:rPr>
          <w:rFonts w:ascii="Times New Roman;serif" w:hAnsi="Times New Roman;serif"/>
          <w:b w:val="false"/>
          <w:color w:val="000000"/>
          <w:sz w:val="20"/>
        </w:rPr>
        <w:t>in the Notes to the Consolidated Financial Statements included in this Annual Report on Form 10-K for further details.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Business Combinations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account for business combinations using the purchase method of accounting. Under this method, the acquisition purchase price is allocated to the underlying identified tangible and intangible assets acquired, and liabilities assumed, based on their respective estimated fair values on the acquisition date. The excess of the purchase consideration over the fair value of the identified assets and liabilities is recorded as goodwill and assigned to one or more reporting units. The value and useful life assigned to acquisition-related tangible and intangible assets impact the amount and timing of future amortization expense. Determining the fair value of assets acquired and liabilities assumed and the expected useful life requires management’s judgment and often involves the use of significant estimates and assumptions, including assumptions with respect to future cash inflows and outflows, discount rates, asset lives and market multiples, among other items. Acquisition-related expenses and restructuring costs, if any, are recognized separately from the business combination and are expensed as incurred.</w:t>
      </w:r>
    </w:p>
    <w:p>
      <w:pPr>
        <w:pStyle w:val="TextBody"/>
        <w:bidi w:val="0"/>
        <w:spacing w:lineRule="auto" w:line="288" w:before="200" w:after="283"/>
        <w:jc w:val="both"/>
        <w:rPr/>
      </w:pPr>
      <w:r>
        <w:rPr>
          <w:rFonts w:ascii="Times New Roman;serif" w:hAnsi="Times New Roman;serif"/>
          <w:b w:val="false"/>
          <w:color w:val="000000"/>
          <w:sz w:val="20"/>
        </w:rPr>
        <w:t xml:space="preserve">Refer to Part II, Item 8. Note 5, </w:t>
      </w:r>
      <w:r>
        <w:rPr>
          <w:rFonts w:ascii="Times New Roman;serif" w:hAnsi="Times New Roman;serif"/>
          <w:b w:val="false"/>
          <w:i/>
          <w:color w:val="000000"/>
          <w:sz w:val="20"/>
        </w:rPr>
        <w:t xml:space="preserve">Acquisitions </w:t>
      </w:r>
      <w:r>
        <w:rPr>
          <w:rFonts w:ascii="Times New Roman;serif" w:hAnsi="Times New Roman;serif"/>
          <w:b w:val="false"/>
          <w:color w:val="000000"/>
          <w:sz w:val="20"/>
        </w:rPr>
        <w:t>in the Notes to the Consolidated Financial Statements included in this Annual Report on Form 10-K for further information.</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Intangible Assets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amortize our identifiable intangible assets over their estimated useful lives. Determining the useful life requires judgment and an understanding of our planned use of the asset, among other factors. If different useful lives had been used, the resulting amortization expense recognized may be materially different. If the estimate of the remaining useful life is changed, the remaining carrying amount of the intangible asset is amortized, prospectively over that revised remaining useful life.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review our intangible assets to determine if any indicators of impairment are present on a quarterly basis or whenever events or changes in circumstances indicate that the carrying amount of an asset group may not be recoverable. If indicators of impairment are present, the asset group is tested for impairment by comparing the carrying value to undiscounted cash flows and, if impaired, written down to fair value based on discounted cash flows. In performing this assessment, significant judgment is involved in determining the assumptions used in estimating future cash flows and the discount rate. </w:t>
      </w:r>
    </w:p>
    <w:p>
      <w:pPr>
        <w:pStyle w:val="TextBody"/>
        <w:bidi w:val="0"/>
        <w:spacing w:lineRule="auto" w:line="288" w:before="200" w:after="283"/>
        <w:jc w:val="both"/>
        <w:rPr/>
      </w:pPr>
      <w:r>
        <w:rPr>
          <w:rFonts w:ascii="Times New Roman;serif" w:hAnsi="Times New Roman;serif"/>
          <w:b w:val="false"/>
          <w:color w:val="000000"/>
          <w:sz w:val="20"/>
        </w:rPr>
        <w:t xml:space="preserve">Refer to Part II, Item 8. Note 7, </w:t>
      </w:r>
      <w:r>
        <w:rPr>
          <w:rFonts w:ascii="Times New Roman;serif" w:hAnsi="Times New Roman;serif"/>
          <w:b w:val="false"/>
          <w:i/>
          <w:color w:val="000000"/>
          <w:sz w:val="20"/>
        </w:rPr>
        <w:t xml:space="preserve">Intangible Assets </w:t>
      </w:r>
      <w:r>
        <w:rPr>
          <w:rFonts w:ascii="Times New Roman;serif" w:hAnsi="Times New Roman;serif"/>
          <w:b w:val="false"/>
          <w:color w:val="000000"/>
          <w:sz w:val="20"/>
        </w:rPr>
        <w:t>in the Notes to the Consolidated Financial Statements included in this Annual Report on Form 10-K for further information.</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Contingencies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various legal proceedings, claims and litigation that have arisen in the ordinary course of business, which involve inherent uncertainties. We accrue for contingencies when we believe that a loss is probable and the amount can be reasonably estimated. Judgment is required to determine both the probability and the estimated amount of loss. If the reasonable estimate of a probable loss is a range, we record an accrual for the most probable estimate of the loss or the minimum amount when no amount within the range is a better estimate than any other amount. We review these accruals on a quarterly basis and adjust, as necessary, to reflect the impact of negotiations, settlements, rulings, advice of legal counsel and other current information. If actual results differ from our assessments, our financial position, results of operations, or cash flows would be affected. </w:t>
      </w:r>
    </w:p>
    <w:p>
      <w:pPr>
        <w:pStyle w:val="TextBody"/>
        <w:bidi w:val="0"/>
        <w:spacing w:lineRule="auto" w:line="288" w:before="200" w:after="283"/>
        <w:jc w:val="both"/>
        <w:rPr/>
      </w:pPr>
      <w:r>
        <w:rPr>
          <w:rFonts w:ascii="Times New Roman;serif" w:hAnsi="Times New Roman;serif"/>
          <w:b w:val="false"/>
          <w:color w:val="000000"/>
          <w:sz w:val="20"/>
        </w:rPr>
        <w:t xml:space="preserve">Refer to Part II, Item 8., Note 11, </w:t>
      </w:r>
      <w:r>
        <w:rPr>
          <w:rFonts w:ascii="Times New Roman;serif" w:hAnsi="Times New Roman;serif"/>
          <w:b w:val="false"/>
          <w:i/>
          <w:color w:val="000000"/>
          <w:sz w:val="20"/>
        </w:rPr>
        <w:t xml:space="preserve">Commitments and Contingencies </w:t>
      </w:r>
      <w:r>
        <w:rPr>
          <w:rFonts w:ascii="Times New Roman;serif" w:hAnsi="Times New Roman;serif"/>
          <w:b w:val="false"/>
          <w:color w:val="000000"/>
          <w:sz w:val="20"/>
        </w:rPr>
        <w:t xml:space="preserve">for more information on our contingent matters and Note 8, </w:t>
      </w:r>
      <w:r>
        <w:rPr>
          <w:rFonts w:ascii="Times New Roman;serif" w:hAnsi="Times New Roman;serif"/>
          <w:b w:val="false"/>
          <w:i/>
          <w:color w:val="000000"/>
          <w:sz w:val="20"/>
        </w:rPr>
        <w:t xml:space="preserve">Income Taxes </w:t>
      </w:r>
      <w:r>
        <w:rPr>
          <w:rFonts w:ascii="Times New Roman;serif" w:hAnsi="Times New Roman;serif"/>
          <w:b w:val="false"/>
          <w:color w:val="000000"/>
          <w:sz w:val="20"/>
        </w:rPr>
        <w:t>for information on the accounting of our income tax contingencies, in the Notes to the Consolidated Financial Statements included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4"/>
        </w:rPr>
      </w:pPr>
      <w:r>
        <w:rPr>
          <w:rFonts w:ascii="Times New Roman;serif" w:hAnsi="Times New Roman;serif"/>
          <w:b/>
          <w:color w:val="000000"/>
          <w:sz w:val="24"/>
        </w:rPr>
        <w:t>New Accounting Pronouncements</w:t>
      </w:r>
    </w:p>
    <w:p>
      <w:pPr>
        <w:pStyle w:val="TextBody"/>
        <w:bidi w:val="0"/>
        <w:spacing w:lineRule="auto" w:line="288" w:before="200" w:after="283"/>
        <w:jc w:val="both"/>
        <w:rPr/>
      </w:pPr>
      <w:r>
        <w:rPr>
          <w:rFonts w:ascii="Times New Roman;serif" w:hAnsi="Times New Roman;serif"/>
          <w:b w:val="false"/>
          <w:color w:val="000000"/>
          <w:sz w:val="20"/>
        </w:rPr>
        <w:t xml:space="preserve">For a discussion of accounting pronouncements recently adopted and those issued but not yet adopted, refer to Part II, Item 8. Note 2, </w:t>
      </w:r>
      <w:r>
        <w:rPr>
          <w:rFonts w:ascii="Times New Roman;serif" w:hAnsi="Times New Roman;serif"/>
          <w:b w:val="false"/>
          <w:i/>
          <w:color w:val="000000"/>
          <w:sz w:val="20"/>
        </w:rPr>
        <w:t>Summary of Significant Accounting Policies</w:t>
      </w:r>
      <w:r>
        <w:rPr>
          <w:color w:val="000000"/>
        </w:rPr>
        <w:t xml:space="preserve"> </w:t>
      </w:r>
      <w:r>
        <w:rPr>
          <w:rFonts w:ascii="Times New Roman;serif" w:hAnsi="Times New Roman;serif"/>
          <w:b w:val="false"/>
          <w:color w:val="000000"/>
          <w:sz w:val="20"/>
        </w:rPr>
        <w:t xml:space="preserve">in the Notes to the Consolidated Financial Statements included in this Annual Report on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color w:val="000000"/>
          <w:sz w:val="24"/>
        </w:rPr>
      </w:pPr>
      <w:r>
        <w:rPr>
          <w:rFonts w:ascii="Times New Roman;serif" w:hAnsi="Times New Roman;serif"/>
          <w:b/>
          <w:color w:val="000000"/>
          <w:sz w:val="24"/>
        </w:rPr>
        <w:t>ITEM 7A. QUANTITATIVE AND QUALITATIVE DISCLOSURES ABOUT MARKET RISK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we are exposed to foreign currency exchange risk and interest rate risk that could impact our financial position and results of operations. Current market events have not required us to materially modify our financial risk management strategies with respect to our exposures to foreign currency exchange risk or interest rate risk.</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Foreign Currency </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Transaction Risk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we operate globally, we are exposed to the risk that our financial condition, results of operations and cash flows could be impacted by changes in foreign currency exchange rates. During fiscal 2026, we maintained a series of foreign currency forward contracts to hedge a portion of our projected operating expenses in these primary currency exposures, namely the British Pound Sterling, Euro, Indian Rupee and Philippine Peso. As of August 31, 2026, the hedge maturity periods of our outstanding foreign currency forward contracts range from the first quarter of fiscal 2027 through the fourth quarter of fiscal 2027. Based on the operating income for fiscal 2026, comparing the average foreign currency exchange rates for fiscal 2026 to the respective rates for fiscal 2025 and the impact of the change in hedge activity, resulted in a decrease in operating income of $2.1 million. We utilize cash flow hedges to manage risk and not for speculative or trading purposes.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performed a sensitivity analysis to determine the effects on both the fair value of our outstanding foreign currency forward contracts and our operating income, excluding these forward contracts, of a hypothetical devaluation of the U.S. dollar by 10% as of August 31, 2026, relative to the other foreign currencies in which we transact. The sensitivity analysis indicated that a devaluation of the U.S. dollar by 10% would have increased the fair value of our outstanding forward contracts by approximately $19 million as of August 31, 2026 and decreased our operating income, excluding these forward contracts, by an estimated $51 million for fiscal 2026. This sensitivity analysis has inherent limitations as it disregards the possibility that rates of multiple foreign currencies will not always move in the same direction relative to the value of the U.S. dollar over time and does not account for our forward contracts that we utilize to mitigate fluctuations in exchange rates. </w:t>
      </w:r>
    </w:p>
    <w:p>
      <w:pPr>
        <w:pStyle w:val="TextBody"/>
        <w:bidi w:val="0"/>
        <w:spacing w:lineRule="auto" w:line="288" w:before="200" w:after="283"/>
        <w:jc w:val="both"/>
        <w:rPr/>
      </w:pPr>
      <w:r>
        <w:rPr>
          <w:rFonts w:ascii="Times New Roman;serif" w:hAnsi="Times New Roman;serif"/>
          <w:b w:val="false"/>
          <w:i/>
          <w:color w:val="000000"/>
          <w:sz w:val="20"/>
        </w:rPr>
        <w:t>Translation</w:t>
      </w:r>
      <w:r>
        <w:rPr>
          <w:color w:val="212121"/>
        </w:rPr>
        <w:t xml:space="preserve"> </w:t>
      </w:r>
      <w:r>
        <w:rPr>
          <w:rFonts w:ascii="Times New Roman;serif" w:hAnsi="Times New Roman;serif"/>
          <w:b w:val="false"/>
          <w:i/>
          <w:color w:val="212121"/>
          <w:sz w:val="20"/>
        </w:rPr>
        <w:t>Risk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foreign currency risk due to the translation of our results from certain international operations into U.S. Dollars, as part of the consolidation process. Fluctuations in foreign currency exchange rates can create volatility in our results of operations and our financial condition.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foreign currency translation adjustment gains and losses recorded in Other comprehensive income (loss):</w:t>
      </w:r>
    </w:p>
    <w:tbl>
      <w:tblPr>
        <w:tblW w:w="6627" w:type="dxa"/>
        <w:jc w:val="left"/>
        <w:tblInd w:w="0" w:type="dxa"/>
        <w:tblLayout w:type="fixed"/>
        <w:tblCellMar>
          <w:top w:w="28" w:type="dxa"/>
          <w:left w:w="28" w:type="dxa"/>
          <w:bottom w:w="28" w:type="dxa"/>
          <w:right w:w="28" w:type="dxa"/>
        </w:tblCellMar>
      </w:tblPr>
      <w:tblGrid>
        <w:gridCol w:w="1640"/>
        <w:gridCol w:w="1443"/>
        <w:gridCol w:w="1447"/>
        <w:gridCol w:w="211"/>
        <w:gridCol w:w="691"/>
        <w:gridCol w:w="109"/>
        <w:gridCol w:w="211"/>
        <w:gridCol w:w="721"/>
        <w:gridCol w:w="154"/>
      </w:tblGrid>
      <w:tr>
        <w:trPr/>
        <w:tc>
          <w:tcPr>
            <w:tcW w:w="1640"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Years ended August 31,</w:t>
            </w:r>
          </w:p>
        </w:tc>
      </w:tr>
      <w:tr>
        <w:trPr/>
        <w:tc>
          <w:tcPr>
            <w:tcW w:w="45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5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translation adjustment gains (losses)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Cash and Cash Equivalents and Investments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Interest Rate Risk</w:t>
      </w:r>
    </w:p>
    <w:p>
      <w:pPr>
        <w:pStyle w:val="TextBody"/>
        <w:bidi w:val="0"/>
        <w:spacing w:lineRule="auto" w:line="288" w:before="200" w:after="283"/>
        <w:jc w:val="both"/>
        <w:rPr/>
      </w:pPr>
      <w:r>
        <w:rPr>
          <w:rFonts w:ascii="Times New Roman;serif" w:hAnsi="Times New Roman;serif"/>
          <w:b w:val="false"/>
          <w:color w:val="000000"/>
          <w:sz w:val="20"/>
        </w:rPr>
        <w:t xml:space="preserve">As of August 31, 2026, we had Cash and cash equivalents of $233.3 million and Investments of $32.0 million. Our cash equivalents primarily consist of money market funds and our Investments consist of mutual funds. We are exposed to interest rate risk through fluctuations in interest rates on our money market funds and mutual funds. As we have a restrictive investment policy, our financial exposure to fluctuations in interest rates is expected to remain low. Refer to Part II, Item 8. Note 2, </w:t>
      </w:r>
      <w:r>
        <w:rPr>
          <w:rFonts w:ascii="Times New Roman;serif" w:hAnsi="Times New Roman;serif"/>
          <w:b w:val="false"/>
          <w:i/>
          <w:color w:val="000000"/>
          <w:sz w:val="20"/>
        </w:rPr>
        <w:t xml:space="preserve">Summary of Significant Accounting Policies </w:t>
      </w:r>
      <w:r>
        <w:rPr>
          <w:rFonts w:ascii="Times New Roman;serif" w:hAnsi="Times New Roman;serif"/>
          <w:b w:val="false"/>
          <w:color w:val="000000"/>
          <w:sz w:val="20"/>
        </w:rPr>
        <w:t>in the Notes to the Consolidated Financial Statements included in this Annual Report on Form 10-K for more information on our Cash and cash equivalents.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Credit Risk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are exposed to credit risk for our cash, cash equivalents and restricted cash held in financial institutions in the event of a default, to the extent that such amounts are in excess of applicable insurance limits; however, we do not believe our concentration of cash, cash equivalents and restricted cash presents a significant credit risk as the counterparties to the instruments consist of multiple high-quality, credit-worthy financial institutions.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Debt</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Interest Rate Risk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Senior Notes have a fixed interest rate and are not subject to interest rate change. As such, our interest rate exposure is limited to the outstanding balance of our floating rate debt under our 2025 Credit Facilities. As of August 31, 2026, this outstanding balance was $375.0 million, which bore interest at a rate equal to the applicable one-month Term SOFR plus a 0.875% interest rate margin, based on a debt leverage pricing grid. Assuming the principal balance of our outstanding floating rate debt remained at $375.0 million, a hypothetical 25 basis point change (up or down) in the one-month SOFR would result in an approximate $1 million change to our annual interest expense.</w:t>
      </w:r>
    </w:p>
    <w:p>
      <w:pPr>
        <w:pStyle w:val="TextBody"/>
        <w:bidi w:val="0"/>
        <w:spacing w:lineRule="auto" w:line="288" w:before="200" w:after="283"/>
        <w:jc w:val="both"/>
        <w:rPr/>
      </w:pPr>
      <w:r>
        <w:rPr>
          <w:rFonts w:ascii="Times New Roman;serif" w:hAnsi="Times New Roman;serif"/>
          <w:b w:val="false"/>
          <w:color w:val="000000"/>
          <w:sz w:val="20"/>
        </w:rPr>
        <w:t xml:space="preserve">Refer to Part II, Item 8. Note 10, </w:t>
      </w:r>
      <w:r>
        <w:rPr>
          <w:rFonts w:ascii="Times New Roman;serif" w:hAnsi="Times New Roman;serif"/>
          <w:b w:val="false"/>
          <w:i/>
          <w:color w:val="000000"/>
          <w:sz w:val="20"/>
        </w:rPr>
        <w:t xml:space="preserve">Debt </w:t>
      </w:r>
      <w:r>
        <w:rPr>
          <w:rFonts w:ascii="Times New Roman;serif" w:hAnsi="Times New Roman;serif"/>
          <w:b w:val="false"/>
          <w:color w:val="000000"/>
          <w:sz w:val="20"/>
        </w:rPr>
        <w:t>in the Notes to the Consolidated Financial Statements included in this Annual Report on Form 10-K for more information on our outstanding borrowings.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4"/>
        </w:rPr>
      </w:pPr>
      <w:r>
        <w:rPr>
          <w:rFonts w:ascii="Times New Roman;serif" w:hAnsi="Times New Roman;serif"/>
          <w:b/>
          <w:color w:val="000000"/>
          <w:sz w:val="24"/>
        </w:rPr>
        <w:t>ITEM 8. FINANCIAL STATEMENTS AND SUPPLEMENTARY DATA</w:t>
      </w:r>
    </w:p>
    <w:tbl>
      <w:tblPr>
        <w:tblW w:w="10205" w:type="dxa"/>
        <w:jc w:val="left"/>
        <w:tblInd w:w="0" w:type="dxa"/>
        <w:tblLayout w:type="fixed"/>
        <w:tblCellMar>
          <w:top w:w="28" w:type="dxa"/>
          <w:left w:w="28" w:type="dxa"/>
          <w:bottom w:w="28" w:type="dxa"/>
          <w:right w:w="28" w:type="dxa"/>
        </w:tblCellMar>
      </w:tblPr>
      <w:tblGrid>
        <w:gridCol w:w="3516"/>
        <w:gridCol w:w="3065"/>
        <w:gridCol w:w="3082"/>
        <w:gridCol w:w="158"/>
        <w:gridCol w:w="158"/>
        <w:gridCol w:w="226"/>
      </w:tblGrid>
      <w:tr>
        <w:trPr/>
        <w:tc>
          <w:tcPr>
            <w:tcW w:w="3516" w:type="dxa"/>
            <w:tcBorders/>
            <w:vAlign w:val="center"/>
          </w:tcPr>
          <w:p>
            <w:pPr>
              <w:pStyle w:val="TableContents"/>
              <w:bidi w:val="0"/>
              <w:spacing w:before="0" w:after="283"/>
              <w:jc w:val="left"/>
              <w:rPr>
                <w:sz w:val="4"/>
                <w:szCs w:val="4"/>
              </w:rPr>
            </w:pPr>
            <w:r>
              <w:rPr>
                <w:sz w:val="4"/>
                <w:szCs w:val="4"/>
              </w:rPr>
            </w:r>
          </w:p>
        </w:tc>
        <w:tc>
          <w:tcPr>
            <w:tcW w:w="3065" w:type="dxa"/>
            <w:tcBorders/>
            <w:vAlign w:val="center"/>
          </w:tcPr>
          <w:p>
            <w:pPr>
              <w:pStyle w:val="TableContents"/>
              <w:bidi w:val="0"/>
              <w:spacing w:before="0" w:after="283"/>
              <w:jc w:val="left"/>
              <w:rPr>
                <w:sz w:val="4"/>
                <w:szCs w:val="4"/>
              </w:rPr>
            </w:pPr>
            <w:r>
              <w:rPr>
                <w:sz w:val="4"/>
                <w:szCs w:val="4"/>
              </w:rPr>
            </w:r>
          </w:p>
        </w:tc>
        <w:tc>
          <w:tcPr>
            <w:tcW w:w="308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Index to Consolidated Financial Statements</w:t>
            </w:r>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966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hyperlink w:anchor="id93253b6c6d743009d916199362386a6_82">
              <w:r>
                <w:rPr>
                  <w:rStyle w:val="InternetLink"/>
                  <w:rFonts w:ascii="Times New Roman;serif" w:hAnsi="Times New Roman;serif"/>
                  <w:b w:val="false"/>
                  <w:color w:val="0000FF"/>
                  <w:sz w:val="20"/>
                  <w:u w:val="single"/>
                </w:rPr>
                <w:t>Management’s Statement of Responsibility for Financial Statements</w:t>
              </w:r>
            </w:hyperlink>
          </w:p>
        </w:tc>
        <w:tc>
          <w:tcPr>
            <w:tcW w:w="5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right"/>
              <w:rPr/>
            </w:pPr>
            <w:hyperlink w:anchor="id93253b6c6d743009d916199362386a6_82">
              <w:r>
                <w:rPr>
                  <w:rStyle w:val="InternetLink"/>
                  <w:rFonts w:ascii="Times New Roman;serif" w:hAnsi="Times New Roman;serif"/>
                  <w:b w:val="false"/>
                  <w:color w:val="0000FF"/>
                  <w:sz w:val="20"/>
                  <w:u w:val="single"/>
                </w:rPr>
                <w:t>47</w:t>
              </w:r>
            </w:hyperlink>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85">
              <w:r>
                <w:rPr>
                  <w:rStyle w:val="InternetLink"/>
                  <w:rFonts w:ascii="Times New Roman;serif" w:hAnsi="Times New Roman;serif"/>
                  <w:b w:val="false"/>
                  <w:color w:val="0000FF"/>
                  <w:sz w:val="20"/>
                  <w:u w:val="single"/>
                </w:rPr>
                <w:t>Management’s Report on Internal Control Over Financial Reporting</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93253b6c6d743009d916199362386a6_85">
              <w:r>
                <w:rPr>
                  <w:rStyle w:val="InternetLink"/>
                  <w:rFonts w:ascii="Times New Roman;serif" w:hAnsi="Times New Roman;serif"/>
                  <w:b w:val="false"/>
                  <w:color w:val="0000FF"/>
                  <w:sz w:val="20"/>
                  <w:u w:val="single"/>
                </w:rPr>
                <w:t>47</w:t>
              </w:r>
            </w:hyperlink>
          </w:p>
        </w:tc>
      </w:tr>
      <w:tr>
        <w:trPr/>
        <w:tc>
          <w:tcPr>
            <w:tcW w:w="9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88">
              <w:r>
                <w:rPr>
                  <w:rStyle w:val="InternetLink"/>
                  <w:rFonts w:ascii="Times New Roman;serif" w:hAnsi="Times New Roman;serif"/>
                  <w:b w:val="false"/>
                  <w:color w:val="000080"/>
                  <w:sz w:val="20"/>
                  <w:u w:val="single"/>
                </w:rPr>
                <w:t>Reports of Independent Registered Public Accounting Firm Reports of Independent Registered Public Accounting Firm (PCAOB ID:</w:t>
              </w:r>
            </w:hyperlink>
            <w:r>
              <w:rPr>
                <w:rFonts w:ascii="Times New Roman;serif" w:hAnsi="Times New Roman;serif"/>
                <w:b w:val="false"/>
                <w:color w:val="0000FF"/>
                <w:sz w:val="20"/>
                <w:u w:val="single"/>
              </w:rPr>
              <w:t xml:space="preserve"> 42</w:t>
            </w:r>
            <w:hyperlink w:anchor="id93253b6c6d743009d916199362386a6_88">
              <w:r>
                <w:rPr>
                  <w:rStyle w:val="InternetLink"/>
                  <w:rFonts w:ascii="Times New Roman;serif" w:hAnsi="Times New Roman;serif"/>
                  <w:b w:val="false"/>
                  <w:color w:val="000080"/>
                  <w:sz w:val="20"/>
                  <w:u w:val="single"/>
                </w:rPr>
                <w:t>)</w:t>
              </w:r>
            </w:hyperlink>
          </w:p>
        </w:tc>
        <w:tc>
          <w:tcPr>
            <w:tcW w:w="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93253b6c6d743009d916199362386a6_88">
              <w:r>
                <w:rPr>
                  <w:rStyle w:val="InternetLink"/>
                  <w:rFonts w:ascii="Times New Roman;serif" w:hAnsi="Times New Roman;serif"/>
                  <w:b w:val="false"/>
                  <w:color w:val="0000FF"/>
                  <w:sz w:val="20"/>
                  <w:u w:val="single"/>
                </w:rPr>
                <w:t>48</w:t>
              </w:r>
            </w:hyperlink>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Financial Statements:</w:t>
            </w:r>
          </w:p>
        </w:tc>
        <w:tc>
          <w:tcPr>
            <w:tcW w:w="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91">
              <w:r>
                <w:rPr>
                  <w:rStyle w:val="InternetLink"/>
                  <w:rFonts w:ascii="Times New Roman;serif" w:hAnsi="Times New Roman;serif"/>
                  <w:b w:val="false"/>
                  <w:color w:val="000080"/>
                  <w:sz w:val="20"/>
                  <w:u w:val="single"/>
                </w:rPr>
                <w:t>Consolidated Statements of Income for the years ended</w:t>
              </w:r>
            </w:hyperlink>
            <w:r>
              <w:rPr>
                <w:rFonts w:ascii="Times New Roman;serif" w:hAnsi="Times New Roman;serif"/>
                <w:b w:val="false"/>
                <w:color w:val="0000FF"/>
                <w:sz w:val="20"/>
                <w:u w:val="single"/>
              </w:rPr>
              <w:t xml:space="preserve"> August 31, 2026, 2025 </w:t>
            </w:r>
            <w:hyperlink w:anchor="id93253b6c6d743009d916199362386a6_91">
              <w:r>
                <w:rPr>
                  <w:rStyle w:val="InternetLink"/>
                  <w:rFonts w:ascii="Times New Roman;serif" w:hAnsi="Times New Roman;serif"/>
                  <w:b w:val="false"/>
                  <w:color w:val="000080"/>
                  <w:sz w:val="20"/>
                  <w:u w:val="single"/>
                </w:rPr>
                <w:t>and</w:t>
              </w:r>
            </w:hyperlink>
            <w:r>
              <w:rPr>
                <w:rFonts w:ascii="Times New Roman;serif" w:hAnsi="Times New Roman;serif"/>
                <w:b w:val="false"/>
                <w:color w:val="0000FF"/>
                <w:sz w:val="20"/>
                <w:u w:val="single"/>
              </w:rPr>
              <w:t xml:space="preserve"> 2024</w:t>
            </w:r>
          </w:p>
        </w:tc>
        <w:tc>
          <w:tcPr>
            <w:tcW w:w="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93253b6c6d743009d916199362386a6_91">
              <w:r>
                <w:rPr>
                  <w:rStyle w:val="InternetLink"/>
                  <w:rFonts w:ascii="Times New Roman;serif" w:hAnsi="Times New Roman;serif"/>
                  <w:b w:val="false"/>
                  <w:color w:val="0000FF"/>
                  <w:sz w:val="20"/>
                  <w:u w:val="single"/>
                </w:rPr>
                <w:t>51</w:t>
              </w:r>
            </w:hyperlink>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94">
              <w:r>
                <w:rPr>
                  <w:rStyle w:val="InternetLink"/>
                  <w:rFonts w:ascii="Times New Roman;serif" w:hAnsi="Times New Roman;serif"/>
                  <w:b w:val="false"/>
                  <w:color w:val="000080"/>
                  <w:sz w:val="20"/>
                  <w:u w:val="single"/>
                </w:rPr>
                <w:t xml:space="preserve">Consolidated Statements of Comprehensive Income for the years ended August 31, </w:t>
              </w:r>
            </w:hyperlink>
            <w:r>
              <w:rPr>
                <w:rFonts w:ascii="Times New Roman;serif" w:hAnsi="Times New Roman;serif"/>
                <w:b w:val="false"/>
                <w:color w:val="0000FF"/>
                <w:sz w:val="20"/>
                <w:u w:val="single"/>
              </w:rPr>
              <w:t>2026, 2025</w:t>
            </w:r>
            <w:r>
              <w:rPr>
                <w:color w:val="0000FF"/>
              </w:rPr>
              <w:t xml:space="preserve"> </w:t>
            </w:r>
            <w:hyperlink w:anchor="id93253b6c6d743009d916199362386a6_94">
              <w:r>
                <w:rPr>
                  <w:rStyle w:val="InternetLink"/>
                  <w:rFonts w:ascii="Times New Roman;serif" w:hAnsi="Times New Roman;serif"/>
                  <w:b w:val="false"/>
                  <w:color w:val="000080"/>
                  <w:sz w:val="20"/>
                  <w:u w:val="single"/>
                </w:rPr>
                <w:t>and</w:t>
              </w:r>
            </w:hyperlink>
            <w:r>
              <w:rPr>
                <w:rFonts w:ascii="Times New Roman;serif" w:hAnsi="Times New Roman;serif"/>
                <w:b w:val="false"/>
                <w:color w:val="0000FF"/>
                <w:sz w:val="20"/>
                <w:u w:val="single"/>
              </w:rPr>
              <w:t xml:space="preserve"> 2024</w:t>
            </w:r>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93253b6c6d743009d916199362386a6_94">
              <w:r>
                <w:rPr>
                  <w:rStyle w:val="InternetLink"/>
                  <w:rFonts w:ascii="Times New Roman;serif" w:hAnsi="Times New Roman;serif"/>
                  <w:b w:val="false"/>
                  <w:color w:val="0000FF"/>
                  <w:sz w:val="20"/>
                  <w:u w:val="single"/>
                </w:rPr>
                <w:t>52</w:t>
              </w:r>
            </w:hyperlink>
          </w:p>
        </w:tc>
      </w:tr>
      <w:tr>
        <w:trPr/>
        <w:tc>
          <w:tcPr>
            <w:tcW w:w="9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97">
              <w:r>
                <w:rPr>
                  <w:rStyle w:val="InternetLink"/>
                  <w:rFonts w:ascii="Times New Roman;serif" w:hAnsi="Times New Roman;serif"/>
                  <w:b w:val="false"/>
                  <w:color w:val="000080"/>
                  <w:sz w:val="20"/>
                  <w:u w:val="single"/>
                </w:rPr>
                <w:t xml:space="preserve">Consolidated Balance Sheets at August 31, </w:t>
              </w:r>
            </w:hyperlink>
            <w:r>
              <w:rPr>
                <w:rFonts w:ascii="Times New Roman;serif" w:hAnsi="Times New Roman;serif"/>
                <w:b w:val="false"/>
                <w:color w:val="0000FF"/>
                <w:sz w:val="20"/>
                <w:u w:val="single"/>
              </w:rPr>
              <w:t xml:space="preserve">2026 </w:t>
            </w:r>
            <w:hyperlink w:anchor="id93253b6c6d743009d916199362386a6_97">
              <w:r>
                <w:rPr>
                  <w:rStyle w:val="InternetLink"/>
                  <w:rFonts w:ascii="Times New Roman;serif" w:hAnsi="Times New Roman;serif"/>
                  <w:b w:val="false"/>
                  <w:color w:val="000080"/>
                  <w:sz w:val="20"/>
                  <w:u w:val="single"/>
                </w:rPr>
                <w:t>and</w:t>
              </w:r>
            </w:hyperlink>
            <w:r>
              <w:rPr>
                <w:rFonts w:ascii="Times New Roman;serif" w:hAnsi="Times New Roman;serif"/>
                <w:b w:val="false"/>
                <w:color w:val="0000FF"/>
                <w:sz w:val="20"/>
                <w:u w:val="single"/>
              </w:rPr>
              <w:t xml:space="preserve"> 2025</w:t>
            </w:r>
          </w:p>
        </w:tc>
        <w:tc>
          <w:tcPr>
            <w:tcW w:w="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93253b6c6d743009d916199362386a6_97">
              <w:r>
                <w:rPr>
                  <w:rStyle w:val="InternetLink"/>
                  <w:rFonts w:ascii="Times New Roman;serif" w:hAnsi="Times New Roman;serif"/>
                  <w:b w:val="false"/>
                  <w:color w:val="0000FF"/>
                  <w:sz w:val="20"/>
                  <w:u w:val="single"/>
                </w:rPr>
                <w:t>53</w:t>
              </w:r>
            </w:hyperlink>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100">
              <w:r>
                <w:rPr>
                  <w:rStyle w:val="InternetLink"/>
                  <w:rFonts w:ascii="Times New Roman;serif" w:hAnsi="Times New Roman;serif"/>
                  <w:b w:val="false"/>
                  <w:color w:val="000080"/>
                  <w:sz w:val="20"/>
                  <w:u w:val="single"/>
                </w:rPr>
                <w:t xml:space="preserve">Consolidated Statements of Cash Flows for the years ended August 31, </w:t>
              </w:r>
            </w:hyperlink>
            <w:r>
              <w:rPr>
                <w:rFonts w:ascii="Times New Roman;serif" w:hAnsi="Times New Roman;serif"/>
                <w:b w:val="false"/>
                <w:color w:val="0000FF"/>
                <w:sz w:val="20"/>
                <w:u w:val="single"/>
              </w:rPr>
              <w:t xml:space="preserve">2026, 2025 </w:t>
            </w:r>
            <w:hyperlink w:anchor="id93253b6c6d743009d916199362386a6_100">
              <w:r>
                <w:rPr>
                  <w:rStyle w:val="InternetLink"/>
                  <w:rFonts w:ascii="Times New Roman;serif" w:hAnsi="Times New Roman;serif"/>
                  <w:b w:val="false"/>
                  <w:color w:val="000080"/>
                  <w:sz w:val="20"/>
                  <w:u w:val="single"/>
                </w:rPr>
                <w:t>and</w:t>
              </w:r>
            </w:hyperlink>
            <w:r>
              <w:rPr>
                <w:rFonts w:ascii="Times New Roman;serif" w:hAnsi="Times New Roman;serif"/>
                <w:b w:val="false"/>
                <w:color w:val="0000FF"/>
                <w:sz w:val="20"/>
                <w:u w:val="single"/>
              </w:rPr>
              <w:t xml:space="preserve"> 2024</w:t>
            </w:r>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93253b6c6d743009d916199362386a6_100">
              <w:r>
                <w:rPr>
                  <w:rStyle w:val="InternetLink"/>
                  <w:rFonts w:ascii="Times New Roman;serif" w:hAnsi="Times New Roman;serif"/>
                  <w:b w:val="false"/>
                  <w:color w:val="0000FF"/>
                  <w:sz w:val="20"/>
                  <w:u w:val="single"/>
                </w:rPr>
                <w:t>54</w:t>
              </w:r>
            </w:hyperlink>
          </w:p>
        </w:tc>
      </w:tr>
      <w:tr>
        <w:trPr/>
        <w:tc>
          <w:tcPr>
            <w:tcW w:w="9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103">
              <w:r>
                <w:rPr>
                  <w:rStyle w:val="InternetLink"/>
                  <w:rFonts w:ascii="Times New Roman;serif" w:hAnsi="Times New Roman;serif"/>
                  <w:b w:val="false"/>
                  <w:color w:val="000080"/>
                  <w:sz w:val="20"/>
                  <w:u w:val="single"/>
                </w:rPr>
                <w:t xml:space="preserve">Consolidated Statements of Changes in Stockholders’ Equity for the years ended August 31, </w:t>
              </w:r>
            </w:hyperlink>
            <w:r>
              <w:rPr>
                <w:rFonts w:ascii="Times New Roman;serif" w:hAnsi="Times New Roman;serif"/>
                <w:b w:val="false"/>
                <w:color w:val="0000FF"/>
                <w:sz w:val="20"/>
                <w:u w:val="single"/>
              </w:rPr>
              <w:t xml:space="preserve">2026, 2025 </w:t>
            </w:r>
            <w:hyperlink w:anchor="id93253b6c6d743009d916199362386a6_103">
              <w:r>
                <w:rPr>
                  <w:rStyle w:val="InternetLink"/>
                  <w:rFonts w:ascii="Times New Roman;serif" w:hAnsi="Times New Roman;serif"/>
                  <w:b w:val="false"/>
                  <w:color w:val="000080"/>
                  <w:sz w:val="20"/>
                  <w:u w:val="single"/>
                </w:rPr>
                <w:t xml:space="preserve">and </w:t>
              </w:r>
            </w:hyperlink>
            <w:r>
              <w:rPr>
                <w:rFonts w:ascii="Times New Roman;serif" w:hAnsi="Times New Roman;serif"/>
                <w:b w:val="false"/>
                <w:color w:val="0000FF"/>
                <w:sz w:val="20"/>
                <w:u w:val="single"/>
              </w:rPr>
              <w:t>2024</w:t>
            </w:r>
          </w:p>
        </w:tc>
        <w:tc>
          <w:tcPr>
            <w:tcW w:w="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93253b6c6d743009d916199362386a6_103">
              <w:r>
                <w:rPr>
                  <w:rStyle w:val="InternetLink"/>
                  <w:rFonts w:ascii="Times New Roman;serif" w:hAnsi="Times New Roman;serif"/>
                  <w:b w:val="false"/>
                  <w:color w:val="0000FF"/>
                  <w:sz w:val="20"/>
                  <w:u w:val="single"/>
                </w:rPr>
                <w:t>56</w:t>
              </w:r>
            </w:hyperlink>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106">
              <w:r>
                <w:rPr>
                  <w:rStyle w:val="InternetLink"/>
                  <w:rFonts w:ascii="Times New Roman;serif" w:hAnsi="Times New Roman;serif"/>
                  <w:b w:val="false"/>
                  <w:color w:val="0000FF"/>
                  <w:sz w:val="20"/>
                  <w:u w:val="single"/>
                </w:rPr>
                <w:t>Notes to the Consolidated Financial Statements</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93253b6c6d743009d916199362386a6_106">
              <w:r>
                <w:rPr>
                  <w:rStyle w:val="InternetLink"/>
                  <w:rFonts w:ascii="Times New Roman;serif" w:hAnsi="Times New Roman;serif"/>
                  <w:b w:val="false"/>
                  <w:color w:val="0000FF"/>
                  <w:sz w:val="20"/>
                  <w:u w:val="single"/>
                </w:rPr>
                <w:t>57</w:t>
              </w:r>
            </w:hyperlink>
          </w:p>
        </w:tc>
      </w:tr>
      <w:tr>
        <w:trPr/>
        <w:tc>
          <w:tcPr>
            <w:tcW w:w="9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 Schedule:</w:t>
            </w:r>
          </w:p>
        </w:tc>
        <w:tc>
          <w:tcPr>
            <w:tcW w:w="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205">
              <w:r>
                <w:rPr>
                  <w:rStyle w:val="InternetLink"/>
                  <w:rFonts w:ascii="Times New Roman;serif" w:hAnsi="Times New Roman;serif"/>
                  <w:b w:val="false"/>
                  <w:color w:val="0000FF"/>
                  <w:sz w:val="20"/>
                  <w:u w:val="single"/>
                </w:rPr>
                <w:t>Schedule II – Valuation and Qualifying Accounts</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93253b6c6d743009d916199362386a6_205">
              <w:r>
                <w:rPr>
                  <w:rStyle w:val="InternetLink"/>
                  <w:rFonts w:ascii="Times New Roman;serif" w:hAnsi="Times New Roman;serif"/>
                  <w:b w:val="false"/>
                  <w:color w:val="0000FF"/>
                  <w:sz w:val="20"/>
                  <w:u w:val="single"/>
                </w:rPr>
                <w:t>91</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Management’s Statement of Responsibility for Financial Statements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management prepares and is responsible for the fairness, integrity and objectivity of our Consolidated Financial Statements. The accompanying Consolidated Financial Statements have been prepared in conformity with accounting principles generally accepted in the United States of America ("GAAP") and include amounts based on our management’s estimates and judgments. All financial information in this Report on Form 10-K has been presented on a basis consistent with the information included in the accompanying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policies and practices reflect corporate governance initiatives that are compliant with the listing requirements of the New York Stock Exchange, the Nasdaq Stock Market and the corporate governance requirements of the Sarbanes-Oxley Act of 2002. Our management, with oversight by our Board of Directors, has established and maintains a strong ethical climate so that our affairs are conducted to the highest standards of personal and corporate conduct.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maintain accounting systems, including internal accounting controls, designed to provide reasonable assurance of the reliability of financial records and the protection of assets. The concept of reasonable assurance is based on recognition that the cost of a system should not exceed the related benefits. The effectiveness of those systems depends primarily upon the careful selection of financial and other managers, clear delegation of authority and assignment of accountability, inculcation of high business ethics and conflict-of-interest standards, policies and procedures for coordinating the management of corporate resources, and the leadership and commitment of top management. In compliance with the Sarbanes-Oxley Act of 2002, we assessed our internal control over financial reporting as of August 31, 2026 and issued a report (see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management is responsible for establishing and maintaining adequate internal control over financial reporting for FactSet. Internal control over financial reporting is a process designed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management (including our Principal Executive Officer and Principal Financial Officer) conducted an evaluation of the effectiveness of our internal control over financial reporting based on the framework in Internal Control—Integrated Framework (2013) issued by the Committee of Sponsoring Organizations of the Treadway Commission.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Based on this evaluation, our management concluded that our internal control over financial reporting was effective as of August 31, 2026. Ernst &amp; Young LLP (PCAOBID: 42), an independent registered public accounting firm, has audited the effectiveness of our internal control over financial reporting and has issued a report on our internal control over financial reporting, which is included in their report on the subsequent page.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120"/>
        <w:jc w:val="left"/>
        <w:rPr>
          <w:rFonts w:ascii="Times New Roman;serif" w:hAnsi="Times New Roman;serif"/>
          <w:b/>
          <w:color w:val="000000"/>
          <w:sz w:val="20"/>
        </w:rPr>
      </w:pPr>
      <w:r>
        <w:rPr>
          <w:rFonts w:ascii="Times New Roman;serif" w:hAnsi="Times New Roman;serif"/>
          <w:b/>
          <w:color w:val="000000"/>
          <w:sz w:val="20"/>
        </w:rPr>
        <w:t xml:space="preserve">Report of Independent Registered Public Accounting Firm </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 of FactSet Research Systems Inc.</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audited the accompanying consolidated balance sheets of FactSet Research Systems Inc. (the Company) as of August 31, 2026 and 2025, the related consolidated statements of income, comprehensive income, changes in stockholders’ equity and cash flows for each of the three years in the period ended August 31, 2026,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August 31, 2026 and 2025, and the results of its operations and its cash flows for each of the three years in the period ended August 31, 2026, in conformity with U.S. generally accepted accounting principles.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also have audited, in accordance with the standards of the Public Company Accounting Oversight Board (United States) (PCAOB), the Company’s internal control over financial reporting as of August 31, 2026 based on criteria established in Internal Control—Integrated Framework issued by the Committee of Sponsoring Organizations of the Treadway Commission (2013 framework), and our report dated October 20, 2026 expressed an unqualified opinion thereon.</w:t>
      </w:r>
    </w:p>
    <w:p>
      <w:pPr>
        <w:pStyle w:val="TextBody"/>
        <w:bidi w:val="0"/>
        <w:spacing w:lineRule="auto" w:line="276" w:before="200" w:after="120"/>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200" w:after="120"/>
        <w:jc w:val="both"/>
        <w:rPr>
          <w:rFonts w:ascii="Times New Roman;serif" w:hAnsi="Times New Roman;serif"/>
          <w:b/>
          <w:color w:val="000000"/>
          <w:sz w:val="20"/>
        </w:rPr>
      </w:pPr>
      <w:r>
        <w:rPr>
          <w:rFonts w:ascii="Times New Roman;serif" w:hAnsi="Times New Roman;serif"/>
          <w:b/>
          <w:color w:val="000000"/>
          <w:sz w:val="20"/>
        </w:rPr>
        <w:t xml:space="preserve">Critical Audit Matter </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487"/>
        <w:gridCol w:w="428"/>
        <w:gridCol w:w="430"/>
        <w:gridCol w:w="2646"/>
        <w:gridCol w:w="2566"/>
        <w:gridCol w:w="3648"/>
      </w:tblGrid>
      <w:tr>
        <w:trPr/>
        <w:tc>
          <w:tcPr>
            <w:tcW w:w="48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64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c>
          <w:tcPr>
            <w:tcW w:w="3648" w:type="dxa"/>
            <w:tcBorders/>
            <w:vAlign w:val="center"/>
          </w:tcPr>
          <w:p>
            <w:pPr>
              <w:pStyle w:val="TableContents"/>
              <w:bidi w:val="0"/>
              <w:spacing w:before="0" w:after="283"/>
              <w:jc w:val="left"/>
              <w:rPr>
                <w:sz w:val="4"/>
                <w:szCs w:val="4"/>
              </w:rPr>
            </w:pPr>
            <w:r>
              <w:rPr>
                <w:sz w:val="4"/>
                <w:szCs w:val="4"/>
              </w:rPr>
            </w:r>
          </w:p>
        </w:tc>
      </w:tr>
      <w:tr>
        <w:trPr/>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Measurement of income tax provision</w:t>
            </w:r>
          </w:p>
        </w:tc>
      </w:tr>
      <w:tr>
        <w:trPr/>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 of the Matter</w:t>
            </w:r>
          </w:p>
        </w:tc>
        <w:tc>
          <w:tcPr>
            <w:tcW w:w="8860"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 xml:space="preserve">As discussed in Note 2, </w:t>
            </w:r>
            <w:r>
              <w:rPr>
                <w:rFonts w:ascii="Times New Roman;serif" w:hAnsi="Times New Roman;serif"/>
                <w:b w:val="false"/>
                <w:i/>
                <w:color w:val="000000"/>
                <w:sz w:val="20"/>
              </w:rPr>
              <w:t>Summary of Significant Accounting Policies,</w:t>
            </w:r>
            <w:r>
              <w:rPr>
                <w:color w:val="000000"/>
              </w:rPr>
              <w:t xml:space="preserve"> </w:t>
            </w:r>
            <w:r>
              <w:rPr>
                <w:rFonts w:ascii="Times New Roman;serif" w:hAnsi="Times New Roman;serif"/>
                <w:b w:val="false"/>
                <w:color w:val="000000"/>
                <w:sz w:val="20"/>
              </w:rPr>
              <w:t xml:space="preserve">and Note 8,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of the Consolidated Financial Statements, the Company serves international markets and is subject to income taxes in the U.S. and various foreign jurisdictions, which affect the Company’s provision for income taxes. The income tax provision is an estimate based on management’s understanding of current enacted tax laws and tax rates of each tax jurisdiction and the use of subjective allocation methodologies to allocate taxable income to tax jurisdictions based upon the structure of the Company’s operations and customer arrangements. For the year-ended August 31, 2026 the Company recognized a consolidated provision for income taxes of $116.2 million with $52.7 million related to its U.S. operations and $63.5 million related to its Non-U.S. operations.</w:t>
            </w:r>
          </w:p>
        </w:tc>
      </w:tr>
      <w:tr>
        <w:trPr/>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Auditing management’s calculation of the provision for income taxes required complex audit judgement as the Company’s calculation of the provision for income taxes involved subjective estimation and evaluation of the application of tax laws, including the methods used to allocate taxable income. </w:t>
            </w:r>
          </w:p>
        </w:tc>
      </w:tr>
      <w:tr>
        <w:trPr/>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How We Addressed the Matter in Our Audit</w:t>
            </w:r>
          </w:p>
        </w:tc>
        <w:tc>
          <w:tcPr>
            <w:tcW w:w="8860"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obtained an understanding, evaluated the design and tested the operating effectiveness of internal controls over management’s calculation of its provision for income taxes. For example, we tested controls over management’s evaluation of the allocation methodologies and management’s review of the assumptions and data utilized in determining the allocation of income to applicable tax jurisdictions.</w:t>
            </w:r>
          </w:p>
        </w:tc>
      </w:tr>
      <w:tr>
        <w:trPr/>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0" w:type="dxa"/>
            <w:gridSpan w:val="3"/>
            <w:tcBorders/>
            <w:tcMar>
              <w:top w:w="0" w:type="dxa"/>
              <w:left w:w="0" w:type="dxa"/>
              <w:bottom w:w="0" w:type="dxa"/>
              <w:right w:w="0" w:type="dxa"/>
            </w:tcMar>
            <w:vAlign w:val="center"/>
          </w:tcPr>
          <w:p>
            <w:pPr>
              <w:pStyle w:val="TableContents"/>
              <w:bidi w:val="0"/>
              <w:spacing w:lineRule="auto" w:line="276" w:before="0" w:after="0"/>
              <w:jc w:val="both"/>
              <w:rPr/>
            </w:pPr>
            <w:r>
              <w:rPr>
                <w:rFonts w:ascii="Times New Roman;serif" w:hAnsi="Times New Roman;serif"/>
                <w:b w:val="false"/>
                <w:color w:val="000000"/>
                <w:sz w:val="20"/>
              </w:rPr>
              <w:t xml:space="preserve">Among other audit procedures performed, we evaluated the reasonableness of management’s allocation methodologies based on the Company’s structure, operations and current tax laws, recalculated income tax expense using management’s methodologies and agreed the data used in the calculations to the Company’s underlying books and records. We involved our tax professionals to evaluate the application of tax laws to management’s allocation methodologies and tax position, including the evaluation of third-party reports and advice obtained by the Company. We also performed a sensitivity analysis to assess the effect of changes in management’s allocation methodologies and assumptions. We have evaluated the Company’s income tax disclosures included in Note 8, </w:t>
            </w:r>
            <w:r>
              <w:rPr>
                <w:rFonts w:ascii="Times New Roman;serif" w:hAnsi="Times New Roman;serif"/>
                <w:b w:val="false"/>
                <w:i/>
                <w:color w:val="000000"/>
                <w:sz w:val="20"/>
              </w:rPr>
              <w:t>Income Taxes</w:t>
            </w:r>
            <w:r>
              <w:rPr>
                <w:rFonts w:ascii="Times New Roman;serif" w:hAnsi="Times New Roman;serif"/>
                <w:b w:val="false"/>
                <w:color w:val="000000"/>
                <w:sz w:val="20"/>
              </w:rPr>
              <w:t>, of the Consolidated Financial Statements in relation to these matters.</w:t>
            </w:r>
          </w:p>
        </w:tc>
      </w:tr>
      <w:tr>
        <w:trPr/>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83"/>
        <w:jc w:val="both"/>
        <w:rPr/>
      </w:pPr>
      <w:r>
        <w:rPr>
          <w:rFonts w:ascii="Times New Roman;serif" w:hAnsi="Times New Roman;serif"/>
          <w:b w:val="false"/>
          <w:color w:val="000000"/>
          <w:sz w:val="20"/>
        </w:rPr>
        <w:t>/s/</w:t>
      </w:r>
      <w:r>
        <w:rPr>
          <w:color w:val="000000"/>
          <w:shd w:fill="FFFFFF" w:val="clear"/>
        </w:rPr>
        <w:t xml:space="preserve"> </w:t>
      </w:r>
      <w:r>
        <w:rPr>
          <w:rFonts w:ascii="Times New Roman;serif" w:hAnsi="Times New Roman;serif"/>
          <w:b w:val="false"/>
          <w:color w:val="000000"/>
          <w:sz w:val="20"/>
          <w:shd w:fill="FFFFFF" w:val="clear"/>
        </w:rPr>
        <w:t>Ernst &amp; Young LLP</w:t>
      </w:r>
    </w:p>
    <w:p>
      <w:pPr>
        <w:pStyle w:val="TextBody"/>
        <w:bidi w:val="0"/>
        <w:spacing w:lineRule="auto" w:line="276"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have served as the Company’s auditor since 2013. </w:t>
      </w:r>
    </w:p>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Stamford, Connecticut</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October 20, 2026</w:t>
      </w:r>
    </w:p>
    <w:p>
      <w:pPr>
        <w:pStyle w:val="TextBody"/>
        <w:bidi w:val="0"/>
        <w:spacing w:before="20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120"/>
        <w:jc w:val="both"/>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 of FactSet Research Systems Inc.</w:t>
      </w:r>
    </w:p>
    <w:p>
      <w:pPr>
        <w:pStyle w:val="TextBody"/>
        <w:bidi w:val="0"/>
        <w:spacing w:lineRule="auto" w:line="288" w:before="200" w:after="120"/>
        <w:jc w:val="both"/>
        <w:rPr>
          <w:rFonts w:ascii="Times New Roman;serif" w:hAnsi="Times New Roman;serif"/>
          <w:b/>
          <w:color w:val="000000"/>
          <w:sz w:val="20"/>
        </w:rPr>
      </w:pPr>
      <w:r>
        <w:rPr>
          <w:rFonts w:ascii="Times New Roman;serif" w:hAnsi="Times New Roman;serif"/>
          <w:b/>
          <w:color w:val="000000"/>
          <w:sz w:val="20"/>
        </w:rPr>
        <w:t>Opinion on Internal Control Over Financial Reporting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have audited FactSet Research Systems Inc.’s internal control over financial reporting as of August 31, 2026, based on criteria established in Internal Control—Integrated Framework issued by the Committee of Sponsoring Organizations of the Treadway Commission (2013 framework) (the COSO criteria). In our opinion, FactSet Research Systems Inc. (the Company) maintained, in all material respects, effective internal control over financial reporting as of August 31, 2026, based on the COSO criteria.</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also have audited, in accordance with the standards of the Public Company Accounting Oversight Board (United States) (PCAOB), the consolidated balance sheets of the Company as of August 31, 2026 and 2025, the related consolidated statements of income, comprehensive income, changes in stockholders’ equity and cash flows for each of the three years in the period ended August 31, 2026, and the related notes and financial statement schedule listed in the Index at Item 15(a) and our report dated October 20, 2026, expressed an unqualified opinion thereon.</w:t>
      </w:r>
    </w:p>
    <w:p>
      <w:pPr>
        <w:pStyle w:val="TextBody"/>
        <w:bidi w:val="0"/>
        <w:spacing w:lineRule="auto" w:line="288" w:before="200" w:after="120"/>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200" w:after="120"/>
        <w:jc w:val="both"/>
        <w:rPr>
          <w:rFonts w:ascii="Times New Roman;serif" w:hAnsi="Times New Roman;serif"/>
          <w:b/>
          <w:color w:val="000000"/>
          <w:sz w:val="20"/>
        </w:rPr>
      </w:pPr>
      <w:r>
        <w:rPr>
          <w:rFonts w:ascii="Times New Roman;serif" w:hAnsi="Times New Roman;serif"/>
          <w:b/>
          <w:color w:val="000000"/>
          <w:sz w:val="20"/>
        </w:rPr>
        <w:t>Definition and Limitations of Internal Control Over Financial Reporting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Stamford, Connecticut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October 20,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FactSet Research Systems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Statements of Income</w:t>
      </w:r>
    </w:p>
    <w:tbl>
      <w:tblPr>
        <w:tblW w:w="7428" w:type="dxa"/>
        <w:jc w:val="left"/>
        <w:tblInd w:w="0" w:type="dxa"/>
        <w:tblLayout w:type="fixed"/>
        <w:tblCellMar>
          <w:top w:w="28" w:type="dxa"/>
          <w:left w:w="28" w:type="dxa"/>
          <w:bottom w:w="28" w:type="dxa"/>
          <w:right w:w="28" w:type="dxa"/>
        </w:tblCellMar>
      </w:tblPr>
      <w:tblGrid>
        <w:gridCol w:w="1265"/>
        <w:gridCol w:w="1111"/>
        <w:gridCol w:w="1119"/>
        <w:gridCol w:w="211"/>
        <w:gridCol w:w="976"/>
        <w:gridCol w:w="109"/>
        <w:gridCol w:w="211"/>
        <w:gridCol w:w="976"/>
        <w:gridCol w:w="109"/>
        <w:gridCol w:w="211"/>
        <w:gridCol w:w="976"/>
        <w:gridCol w:w="154"/>
      </w:tblGrid>
      <w:tr>
        <w:trPr/>
        <w:tc>
          <w:tcPr>
            <w:tcW w:w="1265"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 share data)</w:t>
            </w:r>
          </w:p>
        </w:tc>
        <w:tc>
          <w:tcPr>
            <w:tcW w:w="39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For the years ended August 31, </w:t>
            </w:r>
          </w:p>
        </w:tc>
      </w:tr>
      <w:tr>
        <w:trPr/>
        <w:tc>
          <w:tcPr>
            <w:tcW w:w="3495"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49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2,476,256 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2,321,748 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2,203,056 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1,011,945 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489,812 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1,776,299 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1,573,445 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1,501,757 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701,299 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18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(50,241)</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(27,345)</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(49,796)</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651,503 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533,481 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597,040 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537,126 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common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common share</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common shares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common shares</w:t>
            </w:r>
          </w:p>
        </w:tc>
        <w:tc>
          <w:tcPr>
            <w:tcW w:w="1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36,612 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38,385 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38,618 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FactSet Research Systems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Statements of Comprehensive Income</w:t>
      </w:r>
    </w:p>
    <w:tbl>
      <w:tblPr>
        <w:tblW w:w="8013" w:type="dxa"/>
        <w:jc w:val="left"/>
        <w:tblInd w:w="0" w:type="dxa"/>
        <w:tblLayout w:type="fixed"/>
        <w:tblCellMar>
          <w:top w:w="28" w:type="dxa"/>
          <w:left w:w="28" w:type="dxa"/>
          <w:bottom w:w="28" w:type="dxa"/>
          <w:right w:w="28" w:type="dxa"/>
        </w:tblCellMar>
      </w:tblPr>
      <w:tblGrid>
        <w:gridCol w:w="1640"/>
        <w:gridCol w:w="1442"/>
        <w:gridCol w:w="1448"/>
        <w:gridCol w:w="211"/>
        <w:gridCol w:w="826"/>
        <w:gridCol w:w="109"/>
        <w:gridCol w:w="211"/>
        <w:gridCol w:w="826"/>
        <w:gridCol w:w="109"/>
        <w:gridCol w:w="211"/>
        <w:gridCol w:w="826"/>
        <w:gridCol w:w="154"/>
      </w:tblGrid>
      <w:tr>
        <w:trPr/>
        <w:tc>
          <w:tcPr>
            <w:tcW w:w="1640"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4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For the years ended August 31, </w:t>
            </w:r>
          </w:p>
        </w:tc>
      </w:tr>
      <w:tr>
        <w:trPr/>
        <w:tc>
          <w:tcPr>
            <w:tcW w:w="4530"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45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533,481 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597,040 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537,126 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unrealized gain (loss) on cash flow hedges</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Changes in post-employment benefit obligations</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translation adjustment gains (losses)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0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(14,707)</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15,865 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7,528 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518,774 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612,905 </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544,654 </w:t>
            </w:r>
          </w:p>
        </w:tc>
        <w:tc>
          <w:tcPr>
            <w:tcW w:w="15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(1) Presented net of a tax benefit of $1,069 thousand, tax expense of $119 thousand, and a tax benefit of $369 thousand for the years ended August 31, 2026, 2025 and 2024, respectively.</w:t>
      </w:r>
    </w:p>
    <w:p>
      <w:pPr>
        <w:pStyle w:val="TextBody"/>
        <w:bidi w:val="0"/>
        <w:spacing w:lineRule="auto" w:line="288" w:before="60" w:after="283"/>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(2) Presented net of a tax benefit of $1,844 thousand for the year ended August 31, 2026 related to the labor codes reform implemented by the Government of India effective November 21, 2025.</w:t>
      </w:r>
    </w:p>
    <w:p>
      <w:pPr>
        <w:pStyle w:val="TextBody"/>
        <w:bidi w:val="0"/>
        <w:spacing w:before="200" w:after="283"/>
        <w:jc w:val="left"/>
        <w:rPr/>
      </w:pPr>
      <w:r>
        <w:rPr/>
      </w:r>
    </w:p>
    <w:p>
      <w:pPr>
        <w:pStyle w:val="TextBody"/>
        <w:bidi w:val="0"/>
        <w:spacing w:lineRule="auto" w:line="288" w:before="20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FactSet Research Systems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Balance Sheets</w:t>
      </w:r>
    </w:p>
    <w:tbl>
      <w:tblPr>
        <w:tblW w:w="10205" w:type="dxa"/>
        <w:jc w:val="left"/>
        <w:tblInd w:w="0" w:type="dxa"/>
        <w:tblLayout w:type="fixed"/>
        <w:tblCellMar>
          <w:top w:w="28" w:type="dxa"/>
          <w:left w:w="28" w:type="dxa"/>
          <w:bottom w:w="28" w:type="dxa"/>
          <w:right w:w="28" w:type="dxa"/>
        </w:tblCellMar>
      </w:tblPr>
      <w:tblGrid>
        <w:gridCol w:w="3041"/>
        <w:gridCol w:w="2256"/>
        <w:gridCol w:w="2269"/>
        <w:gridCol w:w="211"/>
        <w:gridCol w:w="976"/>
        <w:gridCol w:w="109"/>
        <w:gridCol w:w="211"/>
        <w:gridCol w:w="976"/>
        <w:gridCol w:w="156"/>
      </w:tblGrid>
      <w:tr>
        <w:trPr/>
        <w:tc>
          <w:tcPr>
            <w:tcW w:w="3041" w:type="dxa"/>
            <w:tcBorders/>
            <w:vAlign w:val="center"/>
          </w:tcPr>
          <w:p>
            <w:pPr>
              <w:pStyle w:val="TableContents"/>
              <w:bidi w:val="0"/>
              <w:spacing w:before="0" w:after="283"/>
              <w:jc w:val="left"/>
              <w:rPr>
                <w:sz w:val="4"/>
                <w:szCs w:val="4"/>
              </w:rPr>
            </w:pPr>
            <w:r>
              <w:rPr>
                <w:sz w:val="4"/>
                <w:szCs w:val="4"/>
              </w:rPr>
            </w:r>
          </w:p>
        </w:tc>
        <w:tc>
          <w:tcPr>
            <w:tcW w:w="2256" w:type="dxa"/>
            <w:tcBorders/>
            <w:vAlign w:val="center"/>
          </w:tcPr>
          <w:p>
            <w:pPr>
              <w:pStyle w:val="TableContents"/>
              <w:bidi w:val="0"/>
              <w:spacing w:before="0" w:after="283"/>
              <w:jc w:val="left"/>
              <w:rPr>
                <w:sz w:val="4"/>
                <w:szCs w:val="4"/>
              </w:rPr>
            </w:pPr>
            <w:r>
              <w:rPr>
                <w:sz w:val="4"/>
                <w:szCs w:val="4"/>
              </w:rPr>
            </w:r>
          </w:p>
        </w:tc>
        <w:tc>
          <w:tcPr>
            <w:tcW w:w="2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share data)</w:t>
            </w:r>
          </w:p>
        </w:tc>
        <w:tc>
          <w:tcPr>
            <w:tcW w:w="263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August 31, </w:t>
            </w:r>
          </w:p>
        </w:tc>
      </w:tr>
      <w:tr>
        <w:trPr/>
        <w:tc>
          <w:tcPr>
            <w:tcW w:w="7566"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75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337,651 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Accounts receivable, net of reserves of $13,584 at August 31, 2026 and $13,789 at August 31, 2025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270,684 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651,893 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729,759 </w:t>
            </w:r>
          </w:p>
        </w:tc>
        <w:tc>
          <w:tcPr>
            <w:tcW w:w="15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equipment and leasehold improvements,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1,284,708 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1,916,102 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right-of-use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4,140,023 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4,304,272 </w:t>
            </w:r>
          </w:p>
        </w:tc>
        <w:tc>
          <w:tcPr>
            <w:tcW w:w="15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taxes payable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1,089,502 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521,306 </w:t>
            </w:r>
          </w:p>
        </w:tc>
        <w:tc>
          <w:tcPr>
            <w:tcW w:w="15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1,368,260 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2,138,157 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2,117,859 </w:t>
            </w:r>
          </w:p>
        </w:tc>
        <w:tc>
          <w:tcPr>
            <w:tcW w:w="15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(see Note 11)</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$0.01 par value, 10,000,000 shares authorized, none issued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40" w:after="4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150,000,000 shares authorized, 43,259,411 and 43,013,266 shares issued, 35,257,384 and 37,645,870 shares outstanding at August 31, 2026 and 2025,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1,621,753 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8,002,027 and 5,367,396 shares at August 31, 2026 and 2025,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(2,352,463)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(1,695,429)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2,323,407 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(63,748)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STOCKHOLDERS’ EQUITY</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2,001,866 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2,186,413 </w:t>
            </w:r>
          </w:p>
        </w:tc>
        <w:tc>
          <w:tcPr>
            <w:tcW w:w="15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4,140,023 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4,304,272 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FactSet Research Systems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Statements of Cash Flows</w:t>
      </w:r>
    </w:p>
    <w:tbl>
      <w:tblPr>
        <w:tblW w:w="10205" w:type="dxa"/>
        <w:jc w:val="left"/>
        <w:tblInd w:w="0" w:type="dxa"/>
        <w:tblLayout w:type="fixed"/>
        <w:tblCellMar>
          <w:top w:w="28" w:type="dxa"/>
          <w:left w:w="28" w:type="dxa"/>
          <w:bottom w:w="28" w:type="dxa"/>
          <w:right w:w="28" w:type="dxa"/>
        </w:tblCellMar>
      </w:tblPr>
      <w:tblGrid>
        <w:gridCol w:w="2195"/>
        <w:gridCol w:w="1931"/>
        <w:gridCol w:w="1940"/>
        <w:gridCol w:w="211"/>
        <w:gridCol w:w="826"/>
        <w:gridCol w:w="109"/>
        <w:gridCol w:w="109"/>
        <w:gridCol w:w="109"/>
        <w:gridCol w:w="109"/>
        <w:gridCol w:w="211"/>
        <w:gridCol w:w="826"/>
        <w:gridCol w:w="109"/>
        <w:gridCol w:w="109"/>
        <w:gridCol w:w="109"/>
        <w:gridCol w:w="109"/>
        <w:gridCol w:w="211"/>
        <w:gridCol w:w="826"/>
        <w:gridCol w:w="156"/>
      </w:tblGrid>
      <w:tr>
        <w:trPr/>
        <w:tc>
          <w:tcPr>
            <w:tcW w:w="2195"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413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 ended August 31,</w:t>
            </w:r>
          </w:p>
        </w:tc>
      </w:tr>
      <w:tr>
        <w:trPr/>
        <w:tc>
          <w:tcPr>
            <w:tcW w:w="6066"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60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537,126 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lease 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(32,020)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divestiture of a business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 net of effects of acquisitions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payable, net of prepaid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(39,320)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10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822,200 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726,260 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700,338 </w:t>
            </w:r>
          </w:p>
        </w:tc>
        <w:tc>
          <w:tcPr>
            <w:tcW w:w="15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equipment, leasehold improvements and capitalized internal-use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(85,681)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businesses, net of cash and cash equivalents acquired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(348,255)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(58,636)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maturity or sale of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divestiture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(used in) investing activities</w:t>
            </w:r>
          </w:p>
        </w:tc>
        <w:tc>
          <w:tcPr>
            <w:tcW w:w="103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(132,504)</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(392,773)</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(144,317)</w:t>
            </w:r>
          </w:p>
        </w:tc>
        <w:tc>
          <w:tcPr>
            <w:tcW w:w="15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payments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(150,667)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employee stock plans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(643,961)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(235,235)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acquisition consideration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(used in) financing activities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(799,447)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(407,821)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(560,850)</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10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(112,060)</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(71,284)</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w:t>
            </w:r>
          </w:p>
        </w:tc>
        <w:tc>
          <w:tcPr>
            <w:tcW w:w="15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425,444 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239,635 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351,695 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422,979 </w:t>
            </w:r>
          </w:p>
        </w:tc>
        <w:tc>
          <w:tcPr>
            <w:tcW w:w="15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tbl>
      <w:tblPr>
        <w:tblW w:w="9836" w:type="dxa"/>
        <w:jc w:val="left"/>
        <w:tblInd w:w="0" w:type="dxa"/>
        <w:tblLayout w:type="fixed"/>
        <w:tblCellMar>
          <w:top w:w="28" w:type="dxa"/>
          <w:left w:w="28" w:type="dxa"/>
          <w:bottom w:w="28" w:type="dxa"/>
          <w:right w:w="28" w:type="dxa"/>
        </w:tblCellMar>
      </w:tblPr>
      <w:tblGrid>
        <w:gridCol w:w="2063"/>
        <w:gridCol w:w="1814"/>
        <w:gridCol w:w="1822"/>
        <w:gridCol w:w="211"/>
        <w:gridCol w:w="826"/>
        <w:gridCol w:w="109"/>
        <w:gridCol w:w="109"/>
        <w:gridCol w:w="109"/>
        <w:gridCol w:w="109"/>
        <w:gridCol w:w="211"/>
        <w:gridCol w:w="826"/>
        <w:gridCol w:w="109"/>
        <w:gridCol w:w="109"/>
        <w:gridCol w:w="109"/>
        <w:gridCol w:w="109"/>
        <w:gridCol w:w="211"/>
        <w:gridCol w:w="826"/>
        <w:gridCol w:w="154"/>
      </w:tblGrid>
      <w:tr>
        <w:trPr/>
        <w:tc>
          <w:tcPr>
            <w:tcW w:w="2063"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total cash, cash equivalents and restricted cash:</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422,979 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351,695 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422,979 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Supplemental Disclosure of Cash Flow Information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year for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year for income taxes, net of refunds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Supplemental Disclosure of Non-Cash Transactions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not paid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FactSet Research Systems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Statements of Changes in Stockholders’ Equity</w:t>
      </w:r>
    </w:p>
    <w:p>
      <w:pPr>
        <w:pStyle w:val="TextBody"/>
        <w:bidi w:val="0"/>
        <w:spacing w:before="0" w:after="0"/>
        <w:jc w:val="left"/>
        <w:rPr/>
      </w:pPr>
      <w:r>
        <w:rPr/>
      </w:r>
    </w:p>
    <w:tbl>
      <w:tblPr>
        <w:tblW w:w="12340" w:type="dxa"/>
        <w:jc w:val="left"/>
        <w:tblInd w:w="0" w:type="dxa"/>
        <w:tblLayout w:type="fixed"/>
        <w:tblCellMar>
          <w:top w:w="28" w:type="dxa"/>
          <w:left w:w="28" w:type="dxa"/>
          <w:bottom w:w="28" w:type="dxa"/>
          <w:right w:w="28" w:type="dxa"/>
        </w:tblCellMar>
      </w:tblPr>
      <w:tblGrid>
        <w:gridCol w:w="615"/>
        <w:gridCol w:w="277"/>
        <w:gridCol w:w="279"/>
        <w:gridCol w:w="480"/>
        <w:gridCol w:w="481"/>
        <w:gridCol w:w="186"/>
        <w:gridCol w:w="109"/>
        <w:gridCol w:w="109"/>
        <w:gridCol w:w="109"/>
        <w:gridCol w:w="196"/>
        <w:gridCol w:w="421"/>
        <w:gridCol w:w="109"/>
        <w:gridCol w:w="109"/>
        <w:gridCol w:w="109"/>
        <w:gridCol w:w="109"/>
        <w:gridCol w:w="196"/>
        <w:gridCol w:w="871"/>
        <w:gridCol w:w="109"/>
        <w:gridCol w:w="109"/>
        <w:gridCol w:w="109"/>
        <w:gridCol w:w="109"/>
        <w:gridCol w:w="435"/>
        <w:gridCol w:w="436"/>
        <w:gridCol w:w="186"/>
        <w:gridCol w:w="109"/>
        <w:gridCol w:w="109"/>
        <w:gridCol w:w="109"/>
        <w:gridCol w:w="196"/>
        <w:gridCol w:w="886"/>
        <w:gridCol w:w="109"/>
        <w:gridCol w:w="109"/>
        <w:gridCol w:w="109"/>
        <w:gridCol w:w="109"/>
        <w:gridCol w:w="196"/>
        <w:gridCol w:w="871"/>
        <w:gridCol w:w="109"/>
        <w:gridCol w:w="109"/>
        <w:gridCol w:w="109"/>
        <w:gridCol w:w="109"/>
        <w:gridCol w:w="240"/>
        <w:gridCol w:w="811"/>
        <w:gridCol w:w="135"/>
        <w:gridCol w:w="109"/>
        <w:gridCol w:w="109"/>
        <w:gridCol w:w="109"/>
        <w:gridCol w:w="196"/>
        <w:gridCol w:w="871"/>
        <w:gridCol w:w="154"/>
      </w:tblGrid>
      <w:tr>
        <w:trPr/>
        <w:tc>
          <w:tcPr>
            <w:tcW w:w="6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share data)</w:t>
            </w:r>
          </w:p>
        </w:tc>
        <w:tc>
          <w:tcPr>
            <w:tcW w:w="22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w:t>
              <w:br/>
              <w:t>Other</w:t>
              <w:br/>
              <w:t>Comprehensive</w:t>
              <w:br/>
              <w:t>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br/>
              <w:t>Stockholders’</w:t>
              <w:br/>
              <w:t>Equity</w:t>
            </w:r>
          </w:p>
        </w:tc>
      </w:tr>
      <w:tr>
        <w:trPr/>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114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August 31, 2023</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42,096,628 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1,323,631 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4,071,256 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(1,122,077)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1,505,096 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(87,141)</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1,619,930 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537,126 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 for employee stock plans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407,542 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91,336 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94,745 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36,758 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Excise tax on share repurchases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537,800 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(235,235)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(153,718)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(153,718)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August 31, 2024</w:t>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42,598,915 </w:t>
            </w:r>
          </w:p>
        </w:tc>
        <w:tc>
          <w:tcPr>
            <w:tcW w:w="1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1,478,839 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4,646,645 </w:t>
            </w:r>
          </w:p>
        </w:tc>
        <w:tc>
          <w:tcPr>
            <w:tcW w:w="1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(1,375,696)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1,888,504 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(79,613)</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1,912,460 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597,040 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15,865 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 for employee stock plans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325,030 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89,321 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35,421 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Excise tax on share repurchases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684,960 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(300,457)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(300,457)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(162,137)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August 31, 2025</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43,013,266 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1,621,753 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5,367,396 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(1,695,429)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2,323,407 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(63,748)</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2,186,413 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533,481 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(14,707)</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 for employee stock plans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173,746 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72,399 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26,347 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Excise tax on share repurchases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2,608,284 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(643,961)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(643,961)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(163,675)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(163,675)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August 31, 2026</w:t>
            </w:r>
          </w:p>
        </w:tc>
        <w:tc>
          <w:tcPr>
            <w:tcW w:w="96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43,259,411 </w:t>
            </w:r>
          </w:p>
        </w:tc>
        <w:tc>
          <w:tcPr>
            <w:tcW w:w="1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1,739,138 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8,002,027 </w:t>
            </w:r>
          </w:p>
        </w:tc>
        <w:tc>
          <w:tcPr>
            <w:tcW w:w="1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(2,352,463)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2,693,213 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(78,455)</w:t>
            </w:r>
          </w:p>
        </w:tc>
        <w:tc>
          <w:tcPr>
            <w:tcW w:w="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2,001,866 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both"/>
        <w:rPr/>
      </w:pPr>
      <w:r>
        <w:rPr/>
      </w:r>
    </w:p>
    <w:p>
      <w:pPr>
        <w:pStyle w:val="TextBody"/>
        <w:bidi w:val="0"/>
        <w:spacing w:before="60" w:after="283"/>
        <w:jc w:val="both"/>
        <w:rPr/>
      </w:pPr>
      <w:r>
        <w:rPr/>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NOTES TO THE CONSOLIDATED FINANCIAL STATEMENTS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FactSet Research Systems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August 31, 2026 </w:t>
      </w:r>
    </w:p>
    <w:tbl>
      <w:tblPr>
        <w:tblW w:w="5026" w:type="dxa"/>
        <w:jc w:val="left"/>
        <w:tblInd w:w="0" w:type="dxa"/>
        <w:tblLayout w:type="fixed"/>
        <w:tblCellMar>
          <w:top w:w="28" w:type="dxa"/>
          <w:left w:w="28" w:type="dxa"/>
          <w:bottom w:w="28" w:type="dxa"/>
          <w:right w:w="28" w:type="dxa"/>
        </w:tblCellMar>
      </w:tblPr>
      <w:tblGrid>
        <w:gridCol w:w="277"/>
        <w:gridCol w:w="242"/>
        <w:gridCol w:w="246"/>
        <w:gridCol w:w="1239"/>
        <w:gridCol w:w="1239"/>
        <w:gridCol w:w="1242"/>
        <w:gridCol w:w="158"/>
        <w:gridCol w:w="158"/>
        <w:gridCol w:w="225"/>
      </w:tblGrid>
      <w:tr>
        <w:trPr/>
        <w:tc>
          <w:tcPr>
            <w:tcW w:w="27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109">
              <w:r>
                <w:rPr>
                  <w:rStyle w:val="InternetLink"/>
                  <w:rFonts w:ascii="Times New Roman;serif" w:hAnsi="Times New Roman;serif"/>
                  <w:b w:val="false"/>
                  <w:color w:val="0000FF"/>
                  <w:sz w:val="20"/>
                  <w:u w:val="single"/>
                </w:rPr>
                <w:t>Note 1</w:t>
              </w:r>
            </w:hyperlink>
          </w:p>
        </w:tc>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109">
              <w:r>
                <w:rPr>
                  <w:rStyle w:val="InternetLink"/>
                  <w:rFonts w:ascii="Times New Roman;serif" w:hAnsi="Times New Roman;serif"/>
                  <w:b w:val="false"/>
                  <w:color w:val="0000FF"/>
                  <w:sz w:val="20"/>
                  <w:u w:val="single"/>
                </w:rPr>
                <w:t>Description of Business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93253b6c6d743009d916199362386a6_109">
              <w:r>
                <w:rPr>
                  <w:rStyle w:val="InternetLink"/>
                  <w:rFonts w:ascii="Times New Roman;serif" w:hAnsi="Times New Roman;serif"/>
                  <w:b w:val="false"/>
                  <w:color w:val="0000FF"/>
                  <w:sz w:val="20"/>
                  <w:u w:val="single"/>
                </w:rPr>
                <w:t>57</w:t>
              </w:r>
            </w:hyperlink>
          </w:p>
        </w:tc>
      </w:tr>
      <w:tr>
        <w:trPr/>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112">
              <w:r>
                <w:rPr>
                  <w:rStyle w:val="InternetLink"/>
                  <w:rFonts w:ascii="Times New Roman;serif" w:hAnsi="Times New Roman;serif"/>
                  <w:b w:val="false"/>
                  <w:color w:val="0000FF"/>
                  <w:sz w:val="20"/>
                  <w:u w:val="single"/>
                </w:rPr>
                <w:t>Note 2</w:t>
              </w:r>
            </w:hyperlink>
          </w:p>
        </w:tc>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112">
              <w:r>
                <w:rPr>
                  <w:rStyle w:val="InternetLink"/>
                  <w:rFonts w:ascii="Times New Roman;serif" w:hAnsi="Times New Roman;serif"/>
                  <w:b w:val="false"/>
                  <w:color w:val="0000FF"/>
                  <w:sz w:val="20"/>
                  <w:u w:val="single"/>
                </w:rPr>
                <w:t>Summary of Significant Accounting Policies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93253b6c6d743009d916199362386a6_112">
              <w:r>
                <w:rPr>
                  <w:rStyle w:val="InternetLink"/>
                  <w:rFonts w:ascii="Times New Roman;serif" w:hAnsi="Times New Roman;serif"/>
                  <w:b w:val="false"/>
                  <w:color w:val="0000FF"/>
                  <w:sz w:val="20"/>
                  <w:u w:val="single"/>
                </w:rPr>
                <w:t>58</w:t>
              </w:r>
            </w:hyperlink>
          </w:p>
        </w:tc>
      </w:tr>
      <w:tr>
        <w:trPr/>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118">
              <w:r>
                <w:rPr>
                  <w:rStyle w:val="InternetLink"/>
                  <w:rFonts w:ascii="Times New Roman;serif" w:hAnsi="Times New Roman;serif"/>
                  <w:b w:val="false"/>
                  <w:color w:val="0000FF"/>
                  <w:sz w:val="20"/>
                  <w:u w:val="single"/>
                </w:rPr>
                <w:t>Note 3</w:t>
              </w:r>
            </w:hyperlink>
          </w:p>
        </w:tc>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118">
              <w:r>
                <w:rPr>
                  <w:rStyle w:val="InternetLink"/>
                  <w:rFonts w:ascii="Times New Roman;serif" w:hAnsi="Times New Roman;serif"/>
                  <w:b w:val="false"/>
                  <w:color w:val="0000FF"/>
                  <w:sz w:val="20"/>
                  <w:u w:val="single"/>
                </w:rPr>
                <w:t>Revenue Recognition</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93253b6c6d743009d916199362386a6_118">
              <w:r>
                <w:rPr>
                  <w:rStyle w:val="InternetLink"/>
                  <w:rFonts w:ascii="Times New Roman;serif" w:hAnsi="Times New Roman;serif"/>
                  <w:b w:val="false"/>
                  <w:color w:val="0000FF"/>
                  <w:sz w:val="20"/>
                  <w:u w:val="single"/>
                </w:rPr>
                <w:t>64</w:t>
              </w:r>
            </w:hyperlink>
          </w:p>
        </w:tc>
      </w:tr>
      <w:tr>
        <w:trPr/>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121">
              <w:r>
                <w:rPr>
                  <w:rStyle w:val="InternetLink"/>
                  <w:rFonts w:ascii="Times New Roman;serif" w:hAnsi="Times New Roman;serif"/>
                  <w:b w:val="false"/>
                  <w:color w:val="0000FF"/>
                  <w:sz w:val="20"/>
                  <w:u w:val="single"/>
                </w:rPr>
                <w:t>Note 4</w:t>
              </w:r>
            </w:hyperlink>
          </w:p>
        </w:tc>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121">
              <w:r>
                <w:rPr>
                  <w:rStyle w:val="InternetLink"/>
                  <w:rFonts w:ascii="Times New Roman;serif" w:hAnsi="Times New Roman;serif"/>
                  <w:b w:val="false"/>
                  <w:color w:val="0000FF"/>
                  <w:sz w:val="20"/>
                  <w:u w:val="single"/>
                </w:rPr>
                <w:t>Fair Value Measures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93253b6c6d743009d916199362386a6_121">
              <w:r>
                <w:rPr>
                  <w:rStyle w:val="InternetLink"/>
                  <w:rFonts w:ascii="Times New Roman;serif" w:hAnsi="Times New Roman;serif"/>
                  <w:b w:val="false"/>
                  <w:color w:val="0000FF"/>
                  <w:sz w:val="20"/>
                  <w:u w:val="single"/>
                </w:rPr>
                <w:t>65</w:t>
              </w:r>
            </w:hyperlink>
          </w:p>
        </w:tc>
      </w:tr>
      <w:tr>
        <w:trPr/>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127">
              <w:r>
                <w:rPr>
                  <w:rStyle w:val="InternetLink"/>
                  <w:rFonts w:ascii="Times New Roman;serif" w:hAnsi="Times New Roman;serif"/>
                  <w:b w:val="false"/>
                  <w:color w:val="0000FF"/>
                  <w:sz w:val="20"/>
                  <w:u w:val="single"/>
                </w:rPr>
                <w:t>Note 5</w:t>
              </w:r>
            </w:hyperlink>
          </w:p>
        </w:tc>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127">
              <w:r>
                <w:rPr>
                  <w:rStyle w:val="InternetLink"/>
                  <w:rFonts w:ascii="Times New Roman;serif" w:hAnsi="Times New Roman;serif"/>
                  <w:b w:val="false"/>
                  <w:color w:val="0000FF"/>
                  <w:sz w:val="20"/>
                  <w:u w:val="single"/>
                </w:rPr>
                <w:t>Acquisitions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93253b6c6d743009d916199362386a6_127">
              <w:r>
                <w:rPr>
                  <w:rStyle w:val="InternetLink"/>
                  <w:rFonts w:ascii="Times New Roman;serif" w:hAnsi="Times New Roman;serif"/>
                  <w:b w:val="false"/>
                  <w:color w:val="0000FF"/>
                  <w:sz w:val="20"/>
                  <w:u w:val="single"/>
                </w:rPr>
                <w:t>67</w:t>
              </w:r>
            </w:hyperlink>
          </w:p>
        </w:tc>
      </w:tr>
      <w:tr>
        <w:trPr/>
        <w:tc>
          <w:tcPr>
            <w:tcW w:w="765" w:type="dxa"/>
            <w:gridSpan w:val="3"/>
            <w:tcBorders/>
            <w:vAlign w:val="center"/>
          </w:tcPr>
          <w:p>
            <w:pPr>
              <w:pStyle w:val="TableContents"/>
              <w:bidi w:val="0"/>
              <w:spacing w:before="0" w:after="283"/>
              <w:jc w:val="left"/>
              <w:rPr>
                <w:sz w:val="4"/>
                <w:szCs w:val="4"/>
              </w:rPr>
            </w:pPr>
            <w:r>
              <w:rPr>
                <w:sz w:val="4"/>
                <w:szCs w:val="4"/>
              </w:rPr>
            </w:r>
          </w:p>
        </w:tc>
        <w:tc>
          <w:tcPr>
            <w:tcW w:w="3720"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133">
              <w:r>
                <w:rPr>
                  <w:rStyle w:val="InternetLink"/>
                  <w:rFonts w:ascii="Times New Roman;serif" w:hAnsi="Times New Roman;serif"/>
                  <w:b w:val="false"/>
                  <w:color w:val="0000FF"/>
                  <w:sz w:val="20"/>
                  <w:u w:val="single"/>
                </w:rPr>
                <w:t>Note 6</w:t>
              </w:r>
            </w:hyperlink>
          </w:p>
        </w:tc>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133">
              <w:r>
                <w:rPr>
                  <w:rStyle w:val="InternetLink"/>
                  <w:rFonts w:ascii="Times New Roman;serif" w:hAnsi="Times New Roman;serif"/>
                  <w:b w:val="false"/>
                  <w:color w:val="0000FF"/>
                  <w:sz w:val="20"/>
                  <w:u w:val="single"/>
                </w:rPr>
                <w:t>Goodwill</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93253b6c6d743009d916199362386a6_133">
              <w:r>
                <w:rPr>
                  <w:rStyle w:val="InternetLink"/>
                  <w:rFonts w:ascii="Times New Roman;serif" w:hAnsi="Times New Roman;serif"/>
                  <w:b w:val="false"/>
                  <w:color w:val="0000FF"/>
                  <w:sz w:val="20"/>
                  <w:u w:val="single"/>
                </w:rPr>
                <w:t>69</w:t>
              </w:r>
            </w:hyperlink>
          </w:p>
        </w:tc>
      </w:tr>
      <w:tr>
        <w:trPr/>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136">
              <w:r>
                <w:rPr>
                  <w:rStyle w:val="InternetLink"/>
                  <w:rFonts w:ascii="Times New Roman;serif" w:hAnsi="Times New Roman;serif"/>
                  <w:b w:val="false"/>
                  <w:color w:val="0000FF"/>
                  <w:sz w:val="20"/>
                  <w:u w:val="single"/>
                </w:rPr>
                <w:t>Note 7</w:t>
              </w:r>
            </w:hyperlink>
          </w:p>
        </w:tc>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136">
              <w:r>
                <w:rPr>
                  <w:rStyle w:val="InternetLink"/>
                  <w:rFonts w:ascii="Times New Roman;serif" w:hAnsi="Times New Roman;serif"/>
                  <w:b w:val="false"/>
                  <w:color w:val="0000FF"/>
                  <w:sz w:val="20"/>
                  <w:u w:val="single"/>
                </w:rPr>
                <w:t>Intangible Assets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93253b6c6d743009d916199362386a6_136">
              <w:r>
                <w:rPr>
                  <w:rStyle w:val="InternetLink"/>
                  <w:rFonts w:ascii="Times New Roman;serif" w:hAnsi="Times New Roman;serif"/>
                  <w:b w:val="false"/>
                  <w:color w:val="0000FF"/>
                  <w:sz w:val="20"/>
                  <w:u w:val="single"/>
                </w:rPr>
                <w:t>70</w:t>
              </w:r>
            </w:hyperlink>
          </w:p>
        </w:tc>
      </w:tr>
      <w:tr>
        <w:trPr/>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139">
              <w:r>
                <w:rPr>
                  <w:rStyle w:val="InternetLink"/>
                  <w:rFonts w:ascii="Times New Roman;serif" w:hAnsi="Times New Roman;serif"/>
                  <w:b w:val="false"/>
                  <w:color w:val="0000FF"/>
                  <w:sz w:val="20"/>
                  <w:u w:val="single"/>
                </w:rPr>
                <w:t>Note 8</w:t>
              </w:r>
            </w:hyperlink>
          </w:p>
        </w:tc>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139">
              <w:r>
                <w:rPr>
                  <w:rStyle w:val="InternetLink"/>
                  <w:rFonts w:ascii="Times New Roman;serif" w:hAnsi="Times New Roman;serif"/>
                  <w:b w:val="false"/>
                  <w:color w:val="0000FF"/>
                  <w:sz w:val="20"/>
                  <w:u w:val="single"/>
                </w:rPr>
                <w:t>Income Taxes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93253b6c6d743009d916199362386a6_139">
              <w:r>
                <w:rPr>
                  <w:rStyle w:val="InternetLink"/>
                  <w:rFonts w:ascii="Times New Roman;serif" w:hAnsi="Times New Roman;serif"/>
                  <w:b w:val="false"/>
                  <w:color w:val="0000FF"/>
                  <w:sz w:val="20"/>
                  <w:u w:val="single"/>
                </w:rPr>
                <w:t>70</w:t>
              </w:r>
            </w:hyperlink>
          </w:p>
        </w:tc>
      </w:tr>
      <w:tr>
        <w:trPr/>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142">
              <w:r>
                <w:rPr>
                  <w:rStyle w:val="InternetLink"/>
                  <w:rFonts w:ascii="Times New Roman;serif" w:hAnsi="Times New Roman;serif"/>
                  <w:b w:val="false"/>
                  <w:color w:val="0000FF"/>
                  <w:sz w:val="20"/>
                  <w:u w:val="single"/>
                </w:rPr>
                <w:t>Note 9</w:t>
              </w:r>
            </w:hyperlink>
          </w:p>
        </w:tc>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142">
              <w:r>
                <w:rPr>
                  <w:rStyle w:val="InternetLink"/>
                  <w:rFonts w:ascii="Times New Roman;serif" w:hAnsi="Times New Roman;serif"/>
                  <w:b w:val="false"/>
                  <w:color w:val="0000FF"/>
                  <w:sz w:val="20"/>
                  <w:u w:val="single"/>
                </w:rPr>
                <w:t>Leases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93253b6c6d743009d916199362386a6_142">
              <w:r>
                <w:rPr>
                  <w:rStyle w:val="InternetLink"/>
                  <w:rFonts w:ascii="Times New Roman;serif" w:hAnsi="Times New Roman;serif"/>
                  <w:b w:val="false"/>
                  <w:color w:val="0000FF"/>
                  <w:sz w:val="20"/>
                  <w:u w:val="single"/>
                </w:rPr>
                <w:t>75</w:t>
              </w:r>
            </w:hyperlink>
          </w:p>
        </w:tc>
      </w:tr>
      <w:tr>
        <w:trPr/>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145">
              <w:r>
                <w:rPr>
                  <w:rStyle w:val="InternetLink"/>
                  <w:rFonts w:ascii="Times New Roman;serif" w:hAnsi="Times New Roman;serif"/>
                  <w:b w:val="false"/>
                  <w:color w:val="000080"/>
                  <w:sz w:val="20"/>
                  <w:u w:val="single"/>
                </w:rPr>
                <w:t>Note 1</w:t>
              </w:r>
            </w:hyperlink>
            <w:hyperlink w:anchor="id93253b6c6d743009d916199362386a6_145">
              <w:r>
                <w:rPr>
                  <w:rStyle w:val="InternetLink"/>
                  <w:rFonts w:ascii="Times New Roman;serif" w:hAnsi="Times New Roman;serif"/>
                  <w:b w:val="false"/>
                  <w:color w:val="000080"/>
                  <w:sz w:val="20"/>
                  <w:u w:val="single"/>
                </w:rPr>
                <w:t>0</w:t>
              </w:r>
            </w:hyperlink>
          </w:p>
        </w:tc>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145">
              <w:r>
                <w:rPr>
                  <w:rStyle w:val="InternetLink"/>
                  <w:rFonts w:ascii="Times New Roman;serif" w:hAnsi="Times New Roman;serif"/>
                  <w:b w:val="false"/>
                  <w:color w:val="0000FF"/>
                  <w:sz w:val="20"/>
                  <w:u w:val="single"/>
                </w:rPr>
                <w:t>Debt</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93253b6c6d743009d916199362386a6_145">
              <w:r>
                <w:rPr>
                  <w:rStyle w:val="InternetLink"/>
                  <w:rFonts w:ascii="Times New Roman;serif" w:hAnsi="Times New Roman;serif"/>
                  <w:b w:val="false"/>
                  <w:color w:val="0000FF"/>
                  <w:sz w:val="20"/>
                  <w:u w:val="single"/>
                </w:rPr>
                <w:t>77</w:t>
              </w:r>
            </w:hyperlink>
          </w:p>
        </w:tc>
      </w:tr>
      <w:tr>
        <w:trPr/>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148">
              <w:r>
                <w:rPr>
                  <w:rStyle w:val="InternetLink"/>
                  <w:rFonts w:ascii="Times New Roman;serif" w:hAnsi="Times New Roman;serif"/>
                  <w:b w:val="false"/>
                  <w:color w:val="0000FF"/>
                  <w:sz w:val="20"/>
                  <w:u w:val="single"/>
                </w:rPr>
                <w:t>Note 11</w:t>
              </w:r>
            </w:hyperlink>
          </w:p>
        </w:tc>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148">
              <w:r>
                <w:rPr>
                  <w:rStyle w:val="InternetLink"/>
                  <w:rFonts w:ascii="Times New Roman;serif" w:hAnsi="Times New Roman;serif"/>
                  <w:b w:val="false"/>
                  <w:color w:val="0000FF"/>
                  <w:sz w:val="20"/>
                  <w:u w:val="single"/>
                </w:rPr>
                <w:t>Commitments and Contingencies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93253b6c6d743009d916199362386a6_148">
              <w:r>
                <w:rPr>
                  <w:rStyle w:val="InternetLink"/>
                  <w:rFonts w:ascii="Times New Roman;serif" w:hAnsi="Times New Roman;serif"/>
                  <w:b w:val="false"/>
                  <w:color w:val="0000FF"/>
                  <w:sz w:val="20"/>
                  <w:u w:val="single"/>
                </w:rPr>
                <w:t>79</w:t>
              </w:r>
            </w:hyperlink>
          </w:p>
        </w:tc>
      </w:tr>
      <w:tr>
        <w:trPr/>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151">
              <w:r>
                <w:rPr>
                  <w:rStyle w:val="InternetLink"/>
                  <w:rFonts w:ascii="Times New Roman;serif" w:hAnsi="Times New Roman;serif"/>
                  <w:b w:val="false"/>
                  <w:color w:val="0000FF"/>
                  <w:sz w:val="20"/>
                  <w:u w:val="single"/>
                </w:rPr>
                <w:t>Note 12</w:t>
              </w:r>
            </w:hyperlink>
          </w:p>
        </w:tc>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151">
              <w:r>
                <w:rPr>
                  <w:rStyle w:val="InternetLink"/>
                  <w:rFonts w:ascii="Times New Roman;serif" w:hAnsi="Times New Roman;serif"/>
                  <w:b w:val="false"/>
                  <w:color w:val="0000FF"/>
                  <w:sz w:val="20"/>
                  <w:u w:val="single"/>
                </w:rPr>
                <w:t>Stockholders' Equity</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93253b6c6d743009d916199362386a6_151">
              <w:r>
                <w:rPr>
                  <w:rStyle w:val="InternetLink"/>
                  <w:rFonts w:ascii="Times New Roman;serif" w:hAnsi="Times New Roman;serif"/>
                  <w:b w:val="false"/>
                  <w:color w:val="0000FF"/>
                  <w:sz w:val="20"/>
                  <w:u w:val="single"/>
                </w:rPr>
                <w:t>81</w:t>
              </w:r>
            </w:hyperlink>
          </w:p>
        </w:tc>
      </w:tr>
      <w:tr>
        <w:trPr/>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154">
              <w:r>
                <w:rPr>
                  <w:rStyle w:val="InternetLink"/>
                  <w:rFonts w:ascii="Times New Roman;serif" w:hAnsi="Times New Roman;serif"/>
                  <w:b w:val="false"/>
                  <w:color w:val="0000FF"/>
                  <w:sz w:val="20"/>
                  <w:u w:val="single"/>
                </w:rPr>
                <w:t>Note 13</w:t>
              </w:r>
            </w:hyperlink>
          </w:p>
        </w:tc>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154">
              <w:r>
                <w:rPr>
                  <w:rStyle w:val="InternetLink"/>
                  <w:rFonts w:ascii="Times New Roman;serif" w:hAnsi="Times New Roman;serif"/>
                  <w:b w:val="false"/>
                  <w:color w:val="0000FF"/>
                  <w:sz w:val="20"/>
                  <w:u w:val="single"/>
                </w:rPr>
                <w:t>Earnings Per Share</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93253b6c6d743009d916199362386a6_154">
              <w:r>
                <w:rPr>
                  <w:rStyle w:val="InternetLink"/>
                  <w:rFonts w:ascii="Times New Roman;serif" w:hAnsi="Times New Roman;serif"/>
                  <w:b w:val="false"/>
                  <w:color w:val="0000FF"/>
                  <w:sz w:val="20"/>
                  <w:u w:val="single"/>
                </w:rPr>
                <w:t>82</w:t>
              </w:r>
            </w:hyperlink>
          </w:p>
        </w:tc>
      </w:tr>
      <w:tr>
        <w:trPr/>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157">
              <w:r>
                <w:rPr>
                  <w:rStyle w:val="InternetLink"/>
                  <w:rFonts w:ascii="Times New Roman;serif" w:hAnsi="Times New Roman;serif"/>
                  <w:b w:val="false"/>
                  <w:color w:val="0000FF"/>
                  <w:sz w:val="20"/>
                  <w:u w:val="single"/>
                </w:rPr>
                <w:t>Note 14</w:t>
              </w:r>
            </w:hyperlink>
          </w:p>
        </w:tc>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157">
              <w:r>
                <w:rPr>
                  <w:rStyle w:val="InternetLink"/>
                  <w:rFonts w:ascii="Times New Roman;serif" w:hAnsi="Times New Roman;serif"/>
                  <w:b w:val="false"/>
                  <w:color w:val="0000FF"/>
                  <w:sz w:val="20"/>
                  <w:u w:val="single"/>
                </w:rPr>
                <w:t>Stock-Based Compensation</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93253b6c6d743009d916199362386a6_157">
              <w:r>
                <w:rPr>
                  <w:rStyle w:val="InternetLink"/>
                  <w:rFonts w:ascii="Times New Roman;serif" w:hAnsi="Times New Roman;serif"/>
                  <w:b w:val="false"/>
                  <w:color w:val="0000FF"/>
                  <w:sz w:val="20"/>
                  <w:u w:val="single"/>
                </w:rPr>
                <w:t>83</w:t>
              </w:r>
            </w:hyperlink>
          </w:p>
        </w:tc>
      </w:tr>
      <w:tr>
        <w:trPr/>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160">
              <w:r>
                <w:rPr>
                  <w:rStyle w:val="InternetLink"/>
                  <w:rFonts w:ascii="Times New Roman;serif" w:hAnsi="Times New Roman;serif"/>
                  <w:b w:val="false"/>
                  <w:color w:val="0000FF"/>
                  <w:sz w:val="20"/>
                  <w:u w:val="single"/>
                </w:rPr>
                <w:t>Note 15</w:t>
              </w:r>
            </w:hyperlink>
          </w:p>
        </w:tc>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160">
              <w:r>
                <w:rPr>
                  <w:rStyle w:val="InternetLink"/>
                  <w:rFonts w:ascii="Times New Roman;serif" w:hAnsi="Times New Roman;serif"/>
                  <w:b w:val="false"/>
                  <w:color w:val="0000FF"/>
                  <w:sz w:val="20"/>
                  <w:u w:val="single"/>
                </w:rPr>
                <w:t>Employee Benefit Plans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93253b6c6d743009d916199362386a6_160">
              <w:r>
                <w:rPr>
                  <w:rStyle w:val="InternetLink"/>
                  <w:rFonts w:ascii="Times New Roman;serif" w:hAnsi="Times New Roman;serif"/>
                  <w:b w:val="false"/>
                  <w:color w:val="0000FF"/>
                  <w:sz w:val="20"/>
                  <w:u w:val="single"/>
                </w:rPr>
                <w:t>86</w:t>
              </w:r>
            </w:hyperlink>
          </w:p>
        </w:tc>
      </w:tr>
      <w:tr>
        <w:trPr/>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163">
              <w:r>
                <w:rPr>
                  <w:rStyle w:val="InternetLink"/>
                  <w:rFonts w:ascii="Times New Roman;serif" w:hAnsi="Times New Roman;serif"/>
                  <w:b w:val="false"/>
                  <w:color w:val="0000FF"/>
                  <w:sz w:val="20"/>
                  <w:u w:val="single"/>
                </w:rPr>
                <w:t>Note 16</w:t>
              </w:r>
            </w:hyperlink>
          </w:p>
        </w:tc>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93253b6c6d743009d916199362386a6_163">
              <w:r>
                <w:rPr>
                  <w:rStyle w:val="InternetLink"/>
                  <w:rFonts w:ascii="Times New Roman;serif" w:hAnsi="Times New Roman;serif"/>
                  <w:b w:val="false"/>
                  <w:color w:val="0000FF"/>
                  <w:sz w:val="20"/>
                  <w:u w:val="single"/>
                </w:rPr>
                <w:t>Segment Information</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93253b6c6d743009d916199362386a6_163">
              <w:r>
                <w:rPr>
                  <w:rStyle w:val="InternetLink"/>
                  <w:rFonts w:ascii="Times New Roman;serif" w:hAnsi="Times New Roman;serif"/>
                  <w:b w:val="false"/>
                  <w:color w:val="0000FF"/>
                  <w:sz w:val="20"/>
                  <w:u w:val="single"/>
                </w:rPr>
                <w:t>86</w:t>
              </w:r>
            </w:hyperlink>
          </w:p>
        </w:tc>
      </w:tr>
      <w:tr>
        <w:trPr/>
        <w:tc>
          <w:tcPr>
            <w:tcW w:w="765" w:type="dxa"/>
            <w:gridSpan w:val="3"/>
            <w:tcBorders/>
            <w:vAlign w:val="center"/>
          </w:tcPr>
          <w:p>
            <w:pPr>
              <w:pStyle w:val="TableContents"/>
              <w:bidi w:val="0"/>
              <w:spacing w:before="0" w:after="283"/>
              <w:jc w:val="left"/>
              <w:rPr>
                <w:sz w:val="4"/>
                <w:szCs w:val="4"/>
              </w:rPr>
            </w:pPr>
            <w:r>
              <w:rPr>
                <w:sz w:val="4"/>
                <w:szCs w:val="4"/>
              </w:rPr>
            </w:r>
          </w:p>
        </w:tc>
        <w:tc>
          <w:tcPr>
            <w:tcW w:w="3720"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765" w:type="dxa"/>
            <w:gridSpan w:val="3"/>
            <w:tcBorders/>
            <w:vAlign w:val="center"/>
          </w:tcPr>
          <w:p>
            <w:pPr>
              <w:pStyle w:val="TableContents"/>
              <w:bidi w:val="0"/>
              <w:spacing w:before="0" w:after="283"/>
              <w:jc w:val="left"/>
              <w:rPr>
                <w:sz w:val="4"/>
                <w:szCs w:val="4"/>
              </w:rPr>
            </w:pPr>
            <w:r>
              <w:rPr>
                <w:sz w:val="4"/>
                <w:szCs w:val="4"/>
              </w:rPr>
            </w:r>
          </w:p>
        </w:tc>
        <w:tc>
          <w:tcPr>
            <w:tcW w:w="3720"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4"/>
          <w:shd w:fill="FFFFFF" w:val="clear"/>
        </w:rPr>
      </w:pPr>
      <w:r>
        <w:rPr>
          <w:rFonts w:ascii="Times New Roman;serif" w:hAnsi="Times New Roman;serif"/>
          <w:b/>
          <w:color w:val="000000"/>
          <w:sz w:val="24"/>
          <w:shd w:fill="FFFFFF" w:val="clear"/>
        </w:rPr>
        <w:t>1. DESCRIPTION OF BUSINESS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FactSet Research Systems Inc. and its wholly-owned subsidiaries ("we," "our," "us," the "Company" or "FactSet") is a global data and artificial intelligence ("AI") solutions provider to the financial markets with open and flexible technologies that deliver financial intelligence to finance professionals worldwide. </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Our platform delivers expansive data, sophisticated analytics, and flexible, AI-powered technologies used by global financial professionals to power their critical investment, dealmaking and advisory workflows. As of August 31, 2026, we had more than 9,200 clients and over 260,000 professionals using our solutions, including institutional asset managers, bankers, wealth managers, asset owners, partners, hedge fund professionals, corporate users, private equity and venture capital professionals, and market infrastructure participants. Our revenues are primarily derived from subscriptions to our multi-asset class data and solutions that include workstations, portfolio analytics, enterprise data solutions, and AI solutions. We also offer managed services that operate as an extension of our clients' internal teams to support data, performance, risk and reporting, and AI-enabled workflows.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We drive our business based on a detailed understanding of our clients’ workflows. We provide financial data and market intelligence on securities, companies, industries and people to enable our clients to research advisory, dealmaking and investment ideas and analyze, monitor and manage their portfolios. Our solutions for institutional buyside clients span the investment lifecycle of investment research, portfolio construction and analysis, trade execution, performance measurement, risk management and reporting. Our banking solutions facilitate company and market research, enabling clients to perform fundamental analysis, generate ideas, and build and distribute presentations through proprietary and third-party databases with global coverage of public and private markets, granular industry metrics, and deep historical data. Our wealth solutions support home office, advisory, and client engagement workflows, providing financial advisors with tools to monitor markets and their book of business, prospect for new clients, and generate proposals, while enhancing existing client relationships and improving firm-wide efficiency across the investment portfolio lifecycle. We provide open and flexible data and technology offerings, including a configurable desktop and mobile platform, comprehensive data solutions, cloud-based digital solutions, application programming interfaces ("APIs"), and model context protocol ("MCP") servers. AI is embedded throughout these offerings to enhance data discovery, automate routine workflows and improve the speed and accuracy of client insights. Our platform and solutions are supported by our client success and service teams.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pPr>
      <w:r>
        <w:rPr>
          <w:rFonts w:ascii="Times New Roman;serif" w:hAnsi="Times New Roman;serif"/>
          <w:b w:val="false"/>
          <w:color w:val="000000"/>
          <w:sz w:val="20"/>
        </w:rPr>
        <w:t>We operate our business through three</w:t>
      </w:r>
      <w:r>
        <w:rPr>
          <w:color w:val="EE2724"/>
        </w:rPr>
        <w:t xml:space="preserve"> </w:t>
      </w:r>
      <w:r>
        <w:rPr>
          <w:rFonts w:ascii="Times New Roman;serif" w:hAnsi="Times New Roman;serif"/>
          <w:b w:val="false"/>
          <w:color w:val="000000"/>
          <w:sz w:val="20"/>
        </w:rPr>
        <w:t xml:space="preserve">reportable segments ("segments"): the Americas, EMEA and Asia Pacific. Within each segment, we offer a range of products, data, managed services, and analytical applications which can be tailored to a wide range of workflows. Refer to Note 16, </w:t>
      </w:r>
      <w:r>
        <w:rPr>
          <w:rFonts w:ascii="Times New Roman;serif" w:hAnsi="Times New Roman;serif"/>
          <w:b w:val="false"/>
          <w:i/>
          <w:color w:val="000000"/>
          <w:sz w:val="20"/>
        </w:rPr>
        <w:t xml:space="preserve">Segment Information </w:t>
      </w:r>
      <w:r>
        <w:rPr>
          <w:rFonts w:ascii="Times New Roman;serif" w:hAnsi="Times New Roman;serif"/>
          <w:b w:val="false"/>
          <w:color w:val="000000"/>
          <w:sz w:val="20"/>
        </w:rPr>
        <w:t xml:space="preserve">for further discussion on our segments.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4"/>
        </w:rPr>
      </w:pPr>
      <w:r>
        <w:rPr>
          <w:rFonts w:ascii="Times New Roman;serif" w:hAnsi="Times New Roman;serif"/>
          <w:b/>
          <w:color w:val="000000"/>
          <w:sz w:val="24"/>
        </w:rPr>
        <w:t>2. SUMMARY OF SIGNIFICANT ACCOUNTING POLICIES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conduct business globally and manage our business on a geographic basis. The accompanying Consolidated Financial Statements and Notes to the Consolidated Financial Statements included in this Annual Report on Form 10-K are prepared in accordance with generally accepted accounting principles in the United States ("GAAP"). The accompanying Consolidated Financial Statements include our accounts and those of our wholly-owned subsidiaries; all intercompany activity and balances have been eliminated.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Reclassifications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Deferred revenues, non-current were included within Other liabilities in the Consolidated Balance Sheets in the current year presentation. We conformed the comparative prior year figures to the current year presentation.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Deferred acquisition consideration, previously included within Other financing activities, was presented as a separate component of Cash Flows from Financing Activities in the Consolidated Statements of Cash Flows in the current period presentation. We conformed the comparative prior year figures to the current year presentation.</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200" w:after="283"/>
        <w:jc w:val="both"/>
        <w:rPr/>
      </w:pPr>
      <w:r>
        <w:rPr>
          <w:rFonts w:ascii="Times New Roman;serif" w:hAnsi="Times New Roman;serif"/>
          <w:b w:val="false"/>
          <w:color w:val="000000"/>
          <w:sz w:val="20"/>
        </w:rPr>
        <w:t xml:space="preserve">The preparation of our Consolidated Financial Statements and related disclosures in conformity with GAAP required 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estimation may be involved in the accounting for income taxes, stock-based compensation, goodwill, business combinations, intangible assets and contingencies. We base our estimates on historical experience and on various other assumptions that are believed to be reasonable, the results of which form the basis for making judgments about the carrying values of our assets and liabilities. Actual results could differ materially from those estimates. Refer to Part II, Item 7. </w:t>
      </w:r>
      <w:r>
        <w:rPr>
          <w:rFonts w:ascii="Times New Roman;serif" w:hAnsi="Times New Roman;serif"/>
          <w:b w:val="false"/>
          <w:i/>
          <w:color w:val="000000"/>
          <w:sz w:val="20"/>
        </w:rPr>
        <w:t>Management's Discussion and Analysis of Financial Condition and Results of Operations, Critical Accounting Estimates</w:t>
      </w:r>
      <w:r>
        <w:rPr>
          <w:rFonts w:ascii="Times New Roman;serif" w:hAnsi="Times New Roman;serif"/>
          <w:b w:val="false"/>
          <w:color w:val="000000"/>
          <w:sz w:val="20"/>
        </w:rPr>
        <w:t>, of this Annual Report on Form 10-K for further discussion on our use of estimates.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Revenue Recognition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majority of our revenues are derived from client access to our multi-asset solutions powered by our platform of connected data and technology (referred to as the "Hosted Platform") that is available over the contractual term. Our services are primarily subscription-based, providing client access to various combinations of products and services including workstations, portfolio analytics, enterprise data solutions, and AI solutions. In addition, through the CUSIP Global Services ("CGS") platform, we provide subscription access to a database of universally recognized security identifiers and related descriptive data for issuers and their financial instruments (referred to as the "Identifier Platform").</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Revenues from our products and services are recognized as we transfer control to our clients, in an amount that reflects the consideration we expect to receive in exchange for satisfying our performance obligations. We record revenues net of sales taxes, which are subsequently remitted to taxing authorities and are excluded from the transaction price. We determined the majority of our contracts with clients, whether for our Hosted Platform or Identifier Platform service, each represent a single performance obligation covering a series of distinct products and services that are substantially the same and that have the same pattern of transfer to the client. The primary nature of our promise to the client is to provide daily access to each of these data and analytics platforms, with revenue recognized over-time as performance is satisfied on an output time-based measure of progress, as the client is simultaneously receiving and consuming the benefits of the platform.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record deferred revenues when payments are received in advance of performance under the client contract.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Stock-Based Compensation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stock-based compensation expense consists of: (i) stock options, (ii) stock options with performance conditions ("PSOs") issued to our Chief Executive Officer ("CEO"), (iii) restricted share units ("RSUs"), (iv) performance share units ("PSUs"), and (v) common stock purchased by eligible employees under our employee stock purchase plan ("ESPP").</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measure and recognize stock-based compensation expense for all stock-based awards and purchases of common stock under the ESPP based on their estimated grant date fair value.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use a lattice-based option-pricing model ("lattice model") to estimate the grant date fair value for our employee stock options. For our CEO PSOs, grant date fair value was estimated using a Monte Carlo simulation ("Monte Carlo model"). The grant date fair value for non-employee director stock options and common stock purchased by eligible employees under our ESPP is estimated using a Black-Scholes model.</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lattice model, Black-Scholes model, and Monte Carlo model each require certain estimates and assumptions, including the risk-free interest rate, expected volatility, and dividend yield. The Black-Scholes and Monte Carlo models incorporate an assumed expected life of the award, while the lattice model derives the expected life as an output incorporating assumptions such as vesting restrictions and expected exercise patterns based on the intrinsic value of the options.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primary assumptions and their definitions are as follows:</w:t>
      </w:r>
    </w:p>
    <w:p>
      <w:pPr>
        <w:pStyle w:val="TextBody"/>
        <w:bidi w:val="0"/>
        <w:spacing w:lineRule="auto" w:line="288" w:before="100" w:after="60"/>
        <w:ind w:left="0" w:right="0" w:hanging="360"/>
        <w:jc w:val="both"/>
        <w:rPr/>
      </w:pPr>
      <w:r>
        <w:rPr>
          <w:color w:val="000000"/>
        </w:rPr>
        <w:t>•</w:t>
      </w:r>
      <w:r>
        <w:rPr>
          <w:rFonts w:ascii="Times New Roman;serif" w:hAnsi="Times New Roman;serif"/>
          <w:b/>
          <w:i/>
          <w:color w:val="000000"/>
          <w:sz w:val="20"/>
        </w:rPr>
        <w:t>Risk-free interest rate</w:t>
      </w:r>
      <w:r>
        <w:rPr>
          <w:color w:val="000000"/>
        </w:rPr>
        <w:t xml:space="preserve"> </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 xml:space="preserve">based on the United States ("U.S.") Treasury yield curve in effect at the time of grant with maturities equal to the expected terms of the stock-based awards granted. </w:t>
      </w:r>
    </w:p>
    <w:p>
      <w:pPr>
        <w:pStyle w:val="TextBody"/>
        <w:bidi w:val="0"/>
        <w:spacing w:lineRule="auto" w:line="288" w:before="0" w:after="60"/>
        <w:ind w:left="0" w:right="0" w:hanging="360"/>
        <w:jc w:val="both"/>
        <w:rPr/>
      </w:pPr>
      <w:r>
        <w:rPr>
          <w:color w:val="000000"/>
        </w:rPr>
        <w:t>•</w:t>
      </w:r>
      <w:r>
        <w:rPr>
          <w:rFonts w:ascii="Times New Roman;serif" w:hAnsi="Times New Roman;serif"/>
          <w:b/>
          <w:i/>
          <w:color w:val="000000"/>
          <w:sz w:val="20"/>
        </w:rPr>
        <w:t>Expected volatility</w:t>
      </w:r>
      <w:r>
        <w:rPr>
          <w:color w:val="000000"/>
        </w:rPr>
        <w:t xml:space="preserve"> </w:t>
      </w:r>
      <w:r>
        <w:rPr>
          <w:rFonts w:ascii="Times New Roman;serif" w:hAnsi="Times New Roman;serif"/>
          <w:b w:val="false"/>
          <w:color w:val="000000"/>
          <w:sz w:val="20"/>
        </w:rPr>
        <w:t xml:space="preserve">- based on a blend of historical volatility of the stock-based award's useful life and the weighted average implied volatility for call option contracts traded in the 90 days preceding the stock-based award's valuation date.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Dividend</w:t>
      </w:r>
      <w:r>
        <w:rPr>
          <w:color w:val="000000"/>
        </w:rPr>
        <w:t xml:space="preserve"> </w:t>
      </w:r>
      <w:r>
        <w:rPr>
          <w:rFonts w:ascii="Times New Roman;serif" w:hAnsi="Times New Roman;serif"/>
          <w:b/>
          <w:i/>
          <w:color w:val="000000"/>
          <w:sz w:val="20"/>
        </w:rPr>
        <w:t>yield</w:t>
      </w:r>
      <w:r>
        <w:rPr>
          <w:color w:val="000000"/>
        </w:rPr>
        <w:t xml:space="preserve"> </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 xml:space="preserve">the expectation of dividend payouts based on our history.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Expected</w:t>
      </w:r>
      <w:r>
        <w:rPr>
          <w:color w:val="000000"/>
        </w:rPr>
        <w:t xml:space="preserve"> </w:t>
      </w:r>
      <w:r>
        <w:rPr>
          <w:rFonts w:ascii="Times New Roman;serif" w:hAnsi="Times New Roman;serif"/>
          <w:b/>
          <w:i/>
          <w:color w:val="000000"/>
          <w:sz w:val="20"/>
        </w:rPr>
        <w:t>life</w:t>
      </w:r>
      <w:r>
        <w:rPr>
          <w:color w:val="000000"/>
        </w:rPr>
        <w:t xml:space="preserve"> </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the weighted average period the stock-based awards are expected to remain outstanding.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RSUs and PSUs (collectively, "Restricted Stock Awards"), the grant date fair value is measured by reducing the grant date price of our common stock by the present value of expected future dividend payments on the underlying stock during the requisite service period, discounted at the appropriate risk-free interest rate. The number of PSUs granted assumes target-level achievement of the specified performance levels within the payout range. The ultimate number of common shares that may be earned pursuant to our PSU awards depends on the level of our achievement of stated financial performance objectives.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expense for stock option awards, including PSOs, and RSU awards is recognized over their respective service periods using the straight-line method. For these awards, the amount of stock-based compensation expense recognized on any date is at least equal to the vested portion of the award on that date.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PSUs require us to make assumptions regarding the probability of achieving specified performance levels established at the time of grant. We recognize stock-based compensation expense for PSUs using the straight-line method over the requisite service period. The probability of achieving the specified performance levels is reviewed on a quarterly basis to ensure the amount of stock-based compensation expense appropriately reflects the expected achievement.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our ESPP, stock-based compensation expense is recognized on a straight-line basis over the offering period.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stock-based awards are generally subject to the continued employment for employees, or continued service for non-employee directors, through the applicable vesting date. Compensation expense for stock-based awards is recorded net of estimated forfeitures, which are based on historical forfeiture rates and are revised if actual forfeitures differ from those estimates.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Research and Product Development Costs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do not have a separate research and product development department, but rather we rely on collaboration across departments, with costs primarily consisting of employee compensation costs, such as salaries and related benefits for our product development, software engineering and technical support departments, as well as certain third party costs. These teams collaborate with our strategists, product and content managers, technologists, sales and other team members to develop new products and process innovations and enhance existing products. Our research and product development costs are expensed as incurred and are primarily recorded in employee compensation costs, which are included in our Cost of services and Selling, general and administrative ("SG&amp;A") expenses in the Consolidated Statements of Income, dependent on the nature of the team.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incurred research and product development costs of $346.1 million, $300.7 million and $265.2 million during fiscal 2026, 2025 and 2024, respectively.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account for income taxes using the asset and liability method. Under this method, deferred tax assets and liabilities are recorded for the temporary differences between the financial statement and the tax basis of assets and liabilities. In addition, deferred tax assets and liabilities are recorded for net operating loss carryforwards ("NOLs") and tax credit carryforwards. Deferred tax assets and liabilities are measured using the currently enacted tax rates that apply to taxable income in effect for the years in which they are expected to be realized or settled. Deferred tax assets are evaluated for future realization and reduced by a valuation allowance to the amount that is more likely than not (defined as a likelihood of more than 50%) to be realized.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Applicable accounting guidance prescribes a comprehensive model for financial statement recognition, measurement, classification and disclosure of uncertain tax positions that a company has taken or expects to take on a tax return. We follow a two-step approach in recognizing and measuring uncertain tax positions. The first step is to evaluate the tax position for recognition by determining if the weight of available evidence indicates that it is more likely than not (defined as a likelihood of more than 50%) that a tax position will be sustained based on its technical merits as of the reporting date. The second step, for those positions that meet the recognition criteria, is to measure and recognize the largest amount of benefit that is greater than 50% likely of being realized upon effective settlement with a taxing authority. We classify the liability for unrecognized tax benefits as Taxes Payable (non-current) and to the extent we anticipate payment of cash within one year, the benefit is classified as Current taxes payable in the Consolidated Balance Sheets.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determination of liabilities related to uncertain tax positions and associated interest and penalties requires significant estimates and assumptions; as such, there can be no assurance that we will accurately predict the outcome. For this reason and due to ongoing audits by multiple tax authorities, we regularly engage in discussions and negotiations with tax authorities regarding tax matters in various jurisdictions. We adjust these reserves in light of changing facts and circumstances, such as the closing of a tax audit or the refinement of an estimate. To the extent that the final outcome of these matters is different than the amounts recorded, such differences will affect the provision for income taxes in the period in which such determination is made.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accrue interest on all income tax exposures for which reserves have been established consistent with jurisdictional tax laws, and recognize this interest in the Provision for income taxes in the Consolidated Statements of Income and in Current taxes payable or Taxes payable (non-current), based on the expected timing of the payment, within the Consolidated Balance Sheets.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Cash and Cash Equivalents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Cash and cash equivalents consist of cash and highly liquid investments, primarily including demand deposits and money market funds available for withdrawal without restriction or with original maturities of 90 days or less. The carrying value of our cash and cash equivalents approximates fair value.</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Accounts Receivable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Accounts receivable includes both invoiced and unbilled receivables, net of allowance for credit losses. Unbilled receivables reflect revenues earned for which we have the unconditional right to payment, even though we have not yet issued an invoice. Amounts included in accounts receivable are expected to be collected within one year. Our allowance for expected credit losses is based on a variety of factors, including collectability trends, our historical write-off activity, current economic environment, client-specific information and expectations of future economic conditions. Our allowance is recorded to SG&amp;A in the Consolidated Statements of Income and we assess the adequacy of the allowance on a quarterly basis. Recoveries of accounts previously reserved are recognized as a reversal to SG&amp;A when payment is received. We write-off accounts receivable balances when we have exhausted our collection efforts.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Goodwill</w:t>
      </w:r>
    </w:p>
    <w:p>
      <w:pPr>
        <w:pStyle w:val="TextBody"/>
        <w:bidi w:val="0"/>
        <w:spacing w:lineRule="auto" w:line="288" w:before="200" w:after="283"/>
        <w:jc w:val="both"/>
        <w:rPr/>
      </w:pPr>
      <w:r>
        <w:rPr>
          <w:rFonts w:ascii="Times New Roman;serif" w:hAnsi="Times New Roman;serif"/>
          <w:b w:val="false"/>
          <w:color w:val="000000"/>
          <w:sz w:val="20"/>
        </w:rPr>
        <w:t>We recognize the excess of the purchase price over the fair value of identifiable net assets acquired at the acquisition date as goodwill. Goodwill is not amortized as it is estimated to</w:t>
      </w:r>
      <w:r>
        <w:rPr>
          <w:color w:val="000000"/>
          <w:shd w:fill="FFFFFF" w:val="clear"/>
        </w:rPr>
        <w:t xml:space="preserve"> </w:t>
      </w:r>
      <w:r>
        <w:rPr>
          <w:rFonts w:ascii="Times New Roman;serif" w:hAnsi="Times New Roman;serif"/>
          <w:b w:val="false"/>
          <w:color w:val="000000"/>
          <w:sz w:val="20"/>
          <w:shd w:fill="FFFFFF" w:val="clear"/>
        </w:rPr>
        <w:t>have an indefinite life and is teste</w:t>
      </w:r>
      <w:r>
        <w:rPr>
          <w:rFonts w:ascii="Times New Roman;serif" w:hAnsi="Times New Roman;serif"/>
          <w:b w:val="false"/>
          <w:color w:val="000000"/>
          <w:sz w:val="20"/>
        </w:rPr>
        <w:t xml:space="preserve">d for impairment at the reporting unit level annually, or more frequently if impairment indicators occur. Goodwill is deemed to be impaired and written-down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period in which the carrying value of the reporting unit exceeds its fair value. We have three reporting units, Americas, EMEA and Asia Pacific, which are consistent with our operating segments.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When assessing goodwill for impairment, we may first elect to perform a qualitative analysis for the reporting units to determine whether it is more likely than not (a likelihood of more than 50%) that the fair value of the reporting unit is less than its carrying value. If the qualitative analysis indicates that it is more likely than not the fair value of a reporting unit is less than its carrying value, or when we elect to do so on a periodic basis, we proceed directly to a quantitative analysis to determine whether a goodwill impairment exists.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quantitative goodwill impairment analysis is used to identify potential impairment by comparing the carrying value of a reporting unit with its fair value. To perform this analysis, we apply the income approach which utilizes discounted cash flows, along with other relevant market information. The annual review of the carrying value of goodwill requires us to develop estimates of expected cash flows by reporting unit, based on future business performance, discounted by their respective weighted average cost of capital. Changes in our estimates can impact the present value of expected cash flows used in determining fair value of a reporting unit. If the carrying value of the reporting unit exceeds the fair value, then the goodwill is considered impaired and written down to the reporting unit’s fair value. The impairment loss for the reporting unit cannot exceed the carrying value of the goodwill allocated to that reporting unit.</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Intangible Assets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amortize intangible assets over their estimated useful lives, assuming no residual value. We evaluate the useful lives annually to determine whether events and circumstances warrant a revision to the remaining period of amortization. If the estimate of the remaining useful life is changed, the remaining carrying amount of the intangible asset is amortized prospectively over that revised remaining useful life.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Intangible assets are tested for impairment qualitatively on a quarterly basis or whenever events or changes in circumstances indicate that the carrying amount of an asset group is not recoverable. If indicators of impairment are present, the asset group is tested for impairment by comparing its carrying value to undiscounted cash flows and, if impaired, written down to fair value based on discounted cash flows.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Internal-use Software and Implementation Costs of Hosting Arrangements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developed technology intangible assets (“Developed technology”) consist of capitalized internal-use software costs, such as employee compensation and external expenses incurred during the application development phase, as well as costs related to upgrades and enhancements that add functionality, and software acquired for internal use. These costs are recorded in Intangible assets, net on the Consolidated Balance Sheets. We also capitalize qualifying implementation costs for hosting arrangements that meet the capitalization criteria per the internal-use software guidance within Other assets on the Consolidated Balance Sheets. Our Developed technology and implementation assets are typically amortized over three to five years using the straight-line method.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Leases</w:t>
      </w:r>
    </w:p>
    <w:p>
      <w:pPr>
        <w:pStyle w:val="TextBody"/>
        <w:bidi w:val="0"/>
        <w:spacing w:lineRule="auto" w:line="288" w:before="200" w:after="283"/>
        <w:jc w:val="both"/>
        <w:rPr/>
      </w:pPr>
      <w:r>
        <w:rPr>
          <w:rFonts w:ascii="Times New Roman;serif" w:hAnsi="Times New Roman;serif"/>
          <w:b w:val="false"/>
          <w:color w:val="212529"/>
          <w:sz w:val="20"/>
        </w:rPr>
        <w:t>Our operating lease arrangements relate to our office space and data centers</w:t>
      </w:r>
      <w:r>
        <w:rPr>
          <w:rFonts w:ascii="Times New Roman;serif" w:hAnsi="Times New Roman;serif"/>
          <w:b w:val="false"/>
          <w:color w:val="000000"/>
          <w:sz w:val="20"/>
        </w:rPr>
        <w:t>. We determine if an arrangement qualifies as a lease at inception by evaluating if there is an identified asset and whether we obtain substantially all the economic benefits of and have the right to control the use of an asset. For operating leases with a term greater than one year, we recognize lease right-of-use ("ROU") assets and lease liabilities as the present value of future minimum lease payments over the reasonably certain lease term beginning at the commencement or modification date. The future minimum lease payments include fixed lease payments and certain qualifying index-based variable payments. The initial carrying value of our lease ROU assets may also be adjusted due to prepayments, lease incentives received and initial direct costs incurred. Our operating leases are classified within Lease right-of-use assets, net, Current lease liabilities and Long-term lease liabilities on our Consolidated Balance Sheets.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leases generally do not have a readily determinable implicit rate; therefore, we use our incremental borrowing rate ("IBR") at the lease commencement, or on the date of lease modification, if applicable, in determining the present value of future minimum payments. Our IBR is derived by selecting U.S. corporate yield curves for public companies that are reflective of our credit rating, adjusted to approximate a secured rate of borrowing. We also consider revisions to the rate to reflect the geographic location where the leased asset is located.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Certain of our lease agreements include options to extend and/or terminate the lease, which we do not include in our minimum lease terms unless we are reasonably certain to exercise these options. We account for the lease and non-lease components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single lease component, which we recognize over the expected term on a straight-line expense basis in occupancy costs (a component of SG&amp;A expense in the Consolidated Statements of Income). Variable lease payments that are not included in the calculation of lease ROU assets and lease liabilities are expensed as incurred within occupancy costs.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review our lease ROU assets for impairment when there are indicators that an asset may no longer be recoverable. The impairment assessment requires significant judgments and estimates, including estimating subtenant rental income, calculating an appropriate discount rate and assessing other applicable future cash flows associated with the leased location. These estimates are based on our experience and knowledge of the market in which the property is located, previous efforts to dispose of similar assets and the assessment of existing market conditions. Impairments are recognized as a reduction to the carrying value of the Lease right-of-use assets, net with a corresponding increase to SG&amp;A on our Consolidated Balance Sheets and Consolidated Statements of Income, respectively.</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Treasury Stock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account for treasury stock under the cost method and present it within Treasury stock as a component of Stockholders' equity on the Consolidated Balance Sheets. We may repurchase shares of our common stock under our share repurchase program in the open market or via privately negotiated transactions, subject to market conditions. Repurchased shares of our common stock are recorded at the market price on the trade date and are held as treasury shares until they are reissued or retired. When treasury shares are reissued, if the issuance price is higher than the average price paid to acquire the shares ("the cost"), the excess of the issuance price over the cost is credited to additional paid-in capital ("APIC"). If the issuance is lower than the cost, the difference is first charged against any credit balance in APIC from Treasury stock, with the remaining balance charged to Retained earnings on the Consolidated Balance Sheets.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account for the formal retirement of treasury shares by deducting its par value from Common stock, reflecting any excess over par value as a reduction to APIC (to the extent created by previous issuances of the shares) and then Retained earnings on the Consolidated Balance Sheets.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Inflation Reduction Act of 2022 ("IRA"), which was enacted into law on August 16, 2022, imposed a nondeductible 1% excise tax on the net value of certain stock repurchases made after December 31, 2022. We record the applicable excise tax in Treasury stock, as part of the cost basis of the stock repurchased, and a corresponding liability for the excise taxes payable in Accounts payable and accrued expenses on the Consolidated Balance Sheets.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Fair Value Measurements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Fair value is defined as the price that would be received from selling an asset or paid to transfer a liability (i.e., the "exit price") in an orderly transaction between market participants at the measurement date. In determining fair value, the use of various valuation methodologies, including market, income and cost approaches is permissible. The inputs to these methodologies consider market comparable information, taking into account the principal or most advantageous market in which we would transact. The accounting guidance for fair value measurements establishes a fair value hierarchy that requires an entity to maximize the use of observable inputs and minimize the use of unobservable inputs when measuring fair value. There are three levels of inputs that may be used to measure fair value based on the reliability of inputs. A financial instrument’s categorization within the fair value hierarchy is based upon the lowest level of input that is significant to the fair value measurement.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Foreign Currency Translation and Remeasurement</w:t>
      </w:r>
    </w:p>
    <w:p>
      <w:pPr>
        <w:pStyle w:val="TextBody"/>
        <w:bidi w:val="0"/>
        <w:spacing w:lineRule="auto" w:line="288" w:before="200" w:after="283"/>
        <w:jc w:val="both"/>
        <w:rPr/>
      </w:pPr>
      <w:r>
        <w:rPr>
          <w:rFonts w:ascii="Times New Roman;serif" w:hAnsi="Times New Roman;serif"/>
          <w:b w:val="false"/>
          <w:color w:val="000000"/>
          <w:sz w:val="20"/>
        </w:rPr>
        <w:t>Certain wholly-owned subsidiaries operate under a functional currency different from the U.S. dollar. Our primary currency exposures include th</w:t>
      </w:r>
      <w:r>
        <w:rPr>
          <w:rFonts w:ascii="Times New Roman;serif" w:hAnsi="Times New Roman;serif"/>
          <w:b w:val="false"/>
          <w:color w:val="000000"/>
          <w:sz w:val="20"/>
          <w:shd w:fill="FFFFFF" w:val="clear"/>
        </w:rPr>
        <w:t xml:space="preserve">e British Pound Sterling, Euro, Indian Rupee and Philippine Peso.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financial statements of our foreign subsidiaries that are local currency functional are translated into U.S. dollars using period-end rates of exchange for assets and liabilities and average monthly rates for revenues and expenses. The resulting translation gains and losses that arise from translating these assets, liabilities, revenues and expenses of our foreign operations are recorded in Accumulated other comprehensive loss ("AOCL") in the Consolidated Balance Sheets.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financial statements of our foreign subsidiaries that are U.S. dollar functional but maintain their books of record in their respective local currency, we remeasure our revenues and expenses into U.S. dollars at the average rates of exchange for the period, monetary assets and liabilities using period-end rates and non-monetary assets and liabilities at their historical rates. The resulting remeasurement gains and losses are recorded to SG&amp;A in the Consolidated Statements of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Concentrations of Credit Risk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Credit risk arises from the potential nonperformance by counterparties to fulfill their financial obligations. Our financial instruments that potentially subject us to concentrations of credit risk consist primarily of our cash, cash equivalents, restricted cash, investments in mutual funds, accounts receivable and derivative instruments. The maximum credit exposure of our cash, cash equivalents, restricted cash, investments in mutual funds and accounts receivable is their carrying values as of the balance sheet date. The maximum credit exposure related to our derivative instruments is based upon their respective gross fair values as of the balance sheet date.</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Cash, Cash Equivalents, Restricted Cash and Investments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are exposed to credit risk on our cash, cash equivalents, restricted cash and investments in mutual funds in the event of default by the financial and governmental institutions with which we transact. We invest in a manner that aligns with our restrictive cash investment practices, preserves capital and provides liquidity, while minimizing our exposure to credit risk. We limit our exposure to credit loss by investing with multiple financial and governmental institutions that we believe are high-quality and credit-worthy. We have not experienced any credit losses relating to our cash, cash equivalents, restricted cash and investments in mutual funds.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Accounts Receivable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accounts receivable credit risk is dependent upon the financial stability of our individual clients. As of August 31, 2026 and August 31, 2025, our accounts receivable reserve was $13.6 million and $13.8 million, respectively. We do not require collateral from our clients; however, no single client represented more than 3.5% of our total annual revenues for fiscal 2024 through fiscal 2026. Due to our large and geographically dispersed client base, our concentration of credit risk related to our accounts receivable is generally limited.</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Derivative Instruments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use of derivative instruments exposes us to credit risk to the extent counterparties may be unable to meet the terms of their agreements. To mitigate credit risk, we limit counterparties to financial institutions we believe are credit-worthy and use several institutions to reduce concentration risk. We do not expect any losses as a result of default by our counterparties.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Concentrations of Content Providers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collect and aggregate third-party content from data suppliers, news sources, exchanges, brokers and contributors into our own dedicated managed databases, which our clients access through our flexible delivery platforms. As certain content sources have a limited number of suppliers, we make every effort to assure that, where reasonable, alternative sources are available. We are not dependent on any individual third-party content supplier to meet the needs of our clients. Two suppliers each represented more than 10% of our total third-party content costs for the year ended August 31, 2026.</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Concentrations of Cloud Providers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clients rely on us for the delivery of time-sensitive, up-to-date data and applications. Our business is dependent on our ability to process substantial volumes of data and transactions rapidly and efficiently. We currently use multiple providers of cloud services; however, one supplier provided the majority of our cloud computing support for fiscal 2026. We maintain back-up facilities and other redundancies at our data centers, take security measures and have emergency planning procedures to minimize the risk that an event will disrupt our operations.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Recently Adopted Accounting Pronouncements</w:t>
      </w:r>
    </w:p>
    <w:p>
      <w:pPr>
        <w:pStyle w:val="TextBody"/>
        <w:bidi w:val="0"/>
        <w:spacing w:lineRule="auto" w:line="26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Income Taxes - Improvements to Income Tax Disclosures</w:t>
      </w:r>
    </w:p>
    <w:p>
      <w:pPr>
        <w:pStyle w:val="TextBody"/>
        <w:bidi w:val="0"/>
        <w:spacing w:lineRule="auto" w:line="288" w:before="200" w:after="283"/>
        <w:jc w:val="both"/>
        <w:rPr/>
      </w:pPr>
      <w:r>
        <w:rPr>
          <w:rFonts w:ascii="Times New Roman;serif" w:hAnsi="Times New Roman;serif"/>
          <w:b w:val="false"/>
          <w:color w:val="000000"/>
          <w:sz w:val="20"/>
        </w:rPr>
        <w:t xml:space="preserve">In December 2023, the FASB issued ASU 2023-09, </w:t>
      </w:r>
      <w:r>
        <w:rPr>
          <w:rFonts w:ascii="Times New Roman;serif" w:hAnsi="Times New Roman;serif"/>
          <w:b w:val="false"/>
          <w:i/>
          <w:color w:val="000000"/>
          <w:sz w:val="20"/>
        </w:rPr>
        <w:t>Income Taxes (Topic 740) - Improvements to Income Tax Disclosures</w:t>
      </w:r>
      <w:r>
        <w:rPr>
          <w:rFonts w:ascii="Times New Roman;serif" w:hAnsi="Times New Roman;serif"/>
          <w:b w:val="false"/>
          <w:color w:val="000000"/>
          <w:sz w:val="20"/>
        </w:rPr>
        <w:t xml:space="preserve">. This ASU enhances annual income tax disclosures primarily related to our effective tax rate reconciliation and income taxes paid. We adopted this ASU on a prospective basis for our annual financial statements starting in fiscal 2026. The adoption of this ASU resulted in additional disclosures with no impact to our Consolidated Financial Statements. Refer to Note 8, </w:t>
      </w:r>
      <w:r>
        <w:rPr>
          <w:rFonts w:ascii="Times New Roman;serif" w:hAnsi="Times New Roman;serif"/>
          <w:b w:val="false"/>
          <w:i/>
          <w:color w:val="000000"/>
          <w:sz w:val="20"/>
        </w:rPr>
        <w:t>Income Taxes</w:t>
      </w:r>
      <w:r>
        <w:rPr>
          <w:rFonts w:ascii="Times New Roman;serif" w:hAnsi="Times New Roman;serif"/>
          <w:b w:val="false"/>
          <w:color w:val="000000"/>
          <w:sz w:val="20"/>
        </w:rPr>
        <w:t>, for further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Accounting Pronouncements Not Yet Adopted</w:t>
      </w:r>
    </w:p>
    <w:p>
      <w:pPr>
        <w:pStyle w:val="TextBody"/>
        <w:bidi w:val="0"/>
        <w:spacing w:lineRule="auto" w:line="26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Goodwill and Other - Internal-Use Software</w:t>
      </w:r>
    </w:p>
    <w:p>
      <w:pPr>
        <w:pStyle w:val="TextBody"/>
        <w:bidi w:val="0"/>
        <w:spacing w:lineRule="auto" w:line="288" w:before="200" w:after="283"/>
        <w:jc w:val="both"/>
        <w:rPr/>
      </w:pPr>
      <w:r>
        <w:rPr>
          <w:rFonts w:ascii="Times New Roman;serif" w:hAnsi="Times New Roman;serif"/>
          <w:b w:val="false"/>
          <w:color w:val="000000"/>
          <w:sz w:val="20"/>
        </w:rPr>
        <w:t xml:space="preserve">In September 2025, the FASB issued Accounting Standards Update ("ASU") 2025-06, </w:t>
      </w:r>
      <w:r>
        <w:rPr>
          <w:rFonts w:ascii="Times New Roman;serif" w:hAnsi="Times New Roman;serif"/>
          <w:b w:val="false"/>
          <w:i/>
          <w:color w:val="000000"/>
          <w:sz w:val="20"/>
        </w:rPr>
        <w:t>Intangibles - Goodwill and Other - Internal-Use Software (Subtopic 350-40) - Targeted Improvements to the Accounting for Internal-Use Software</w:t>
      </w:r>
      <w:r>
        <w:rPr>
          <w:rFonts w:ascii="Times New Roman;serif" w:hAnsi="Times New Roman;serif"/>
          <w:b w:val="false"/>
          <w:color w:val="000000"/>
          <w:sz w:val="20"/>
        </w:rPr>
        <w:t>. This ASU removes all references to prescriptive and sequential software development stages, and requires entities to start capitalizing eligible software costs when management has authorized and committed to funding the software project and it is probable that the project will be completed and the software will be used to perform the function intended. The amendments in this ASU can be applied using a prospective, modified, or retrospective transition approach, and are effective for our interim and annual periods starting in fiscal 2029. Early adoption is permitted at the beginning of an annual period. We are currently assessing the impact of the new requirements on our Consolidated Financial Statements and disclosures.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Income Statement - Disaggregation of Income Statement Expenses</w:t>
      </w:r>
    </w:p>
    <w:p>
      <w:pPr>
        <w:pStyle w:val="TextBody"/>
        <w:bidi w:val="0"/>
        <w:spacing w:lineRule="auto" w:line="288" w:before="200" w:after="283"/>
        <w:jc w:val="both"/>
        <w:rPr/>
      </w:pPr>
      <w:r>
        <w:rPr>
          <w:rFonts w:ascii="Times New Roman;serif" w:hAnsi="Times New Roman;serif"/>
          <w:b w:val="false"/>
          <w:color w:val="000000"/>
          <w:sz w:val="20"/>
        </w:rPr>
        <w:t xml:space="preserve">In November 2024, the FASB issued Accounting Standards Update ("ASU") 2024-03, </w:t>
      </w:r>
      <w:r>
        <w:rPr>
          <w:rFonts w:ascii="Times New Roman;serif" w:hAnsi="Times New Roman;serif"/>
          <w:b w:val="false"/>
          <w:i/>
          <w:color w:val="000000"/>
          <w:sz w:val="20"/>
        </w:rPr>
        <w:t>Income Statement - Reporting Comprehensive Income - Expense Disaggregation Disclosures (Subtopic 220-40) - Disaggregation of Income Statement Expenses</w:t>
      </w:r>
      <w:r>
        <w:rPr>
          <w:rFonts w:ascii="Times New Roman;serif" w:hAnsi="Times New Roman;serif"/>
          <w:b w:val="false"/>
          <w:color w:val="000000"/>
          <w:sz w:val="20"/>
        </w:rPr>
        <w:t>. This ASU requires disaggregation of certain income statement expense captions into specified categories to be disclosed within the footnotes to the financial statements. This ASU does not change the expense captions on the income statement. The amendments in this ASU are to be applied prospectively, although retrospective application is permitted, and are effective for our annual financial statements starting in fiscal 2028 and interim periods starting in fiscal 2029. Early adoption is permitted. This ASU is not expected to have a material impact on our Consolidated Financial Statements. We are currently assessing the impact of the new requirements on our disclosures.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U.S. Securities and Exchange Commission ("SEC") Disclosures - The Enhancement and Standardization of Climate-Related Disclosures for Investors</w:t>
      </w:r>
    </w:p>
    <w:p>
      <w:pPr>
        <w:pStyle w:val="TextBody"/>
        <w:bidi w:val="0"/>
        <w:spacing w:lineRule="auto" w:line="288" w:before="200" w:after="283"/>
        <w:jc w:val="both"/>
        <w:rPr/>
      </w:pPr>
      <w:r>
        <w:rPr>
          <w:rFonts w:ascii="Times New Roman;serif" w:hAnsi="Times New Roman;serif"/>
          <w:b w:val="false"/>
          <w:color w:val="000000"/>
          <w:sz w:val="20"/>
        </w:rPr>
        <w:t xml:space="preserve">In March 2024, the SEC adopted a final rule under SEC Release Nos. 33-11275 and 34-99678, </w:t>
      </w:r>
      <w:r>
        <w:rPr>
          <w:rFonts w:ascii="Times New Roman;serif" w:hAnsi="Times New Roman;serif"/>
          <w:b w:val="false"/>
          <w:i/>
          <w:color w:val="000000"/>
          <w:sz w:val="20"/>
        </w:rPr>
        <w:t>The Enhancement and Standardization of Climate-Related Disclosures for Investors</w:t>
      </w:r>
      <w:r>
        <w:rPr>
          <w:rFonts w:ascii="Times New Roman;serif" w:hAnsi="Times New Roman;serif"/>
          <w:b w:val="false"/>
          <w:color w:val="000000"/>
          <w:sz w:val="20"/>
        </w:rPr>
        <w:t>, which would require disclosure of certain climate-related information in various filings with the SEC. In April 2024, the SEC stayed implementation of the final rule pending completion of judicial review. In</w:t>
      </w:r>
      <w:r>
        <w:rPr>
          <w:color w:val="008080"/>
        </w:rPr>
        <w:t xml:space="preserve"> </w:t>
      </w:r>
      <w:r>
        <w:rPr>
          <w:rFonts w:ascii="Times New Roman;serif" w:hAnsi="Times New Roman;serif"/>
          <w:b w:val="false"/>
          <w:color w:val="000000"/>
          <w:sz w:val="20"/>
        </w:rPr>
        <w:t>March 2025, the SEC stated that it has ended its defense of the rule. On May 29, 2026, the SEC proposed to rescind the rule.</w:t>
      </w:r>
      <w:r>
        <w:rPr>
          <w:color w:val="000000"/>
        </w:rPr>
        <w:t xml:space="preserve"> </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Disclosure Improvements - Codification Amendment in Response to the SEC's Disclosure Update and Simplification Initiative</w:t>
      </w:r>
    </w:p>
    <w:p>
      <w:pPr>
        <w:pStyle w:val="TextBody"/>
        <w:bidi w:val="0"/>
        <w:spacing w:lineRule="auto" w:line="288" w:before="200" w:after="283"/>
        <w:jc w:val="both"/>
        <w:rPr/>
      </w:pPr>
      <w:r>
        <w:rPr>
          <w:rFonts w:ascii="Times New Roman;serif" w:hAnsi="Times New Roman;serif"/>
          <w:b w:val="false"/>
          <w:color w:val="000000"/>
          <w:sz w:val="20"/>
        </w:rPr>
        <w:t xml:space="preserve">In October 2023, the FASB issued ASU 2023-06, </w:t>
      </w:r>
      <w:r>
        <w:rPr>
          <w:rFonts w:ascii="Times New Roman;serif" w:hAnsi="Times New Roman;serif"/>
          <w:b w:val="false"/>
          <w:i/>
          <w:color w:val="000000"/>
          <w:sz w:val="20"/>
        </w:rPr>
        <w:t>Disclosure Improvements - Codification Amendment in Response to the SEC’s Disclosure Update and Simplification Initiative</w:t>
      </w:r>
      <w:r>
        <w:rPr>
          <w:rFonts w:ascii="Times New Roman;serif" w:hAnsi="Times New Roman;serif"/>
          <w:b w:val="false"/>
          <w:color w:val="000000"/>
          <w:sz w:val="20"/>
        </w:rPr>
        <w:t>. The ASU incorporates several disclosure and presentation requirements currently residing in the SEC Regulations S-X and S-K. The amendments will be applied prospectively and are effective when the SEC removes the related requirements from Regulations S-X or S-K. Any amendments the SEC does not remove by June 30, 2027 will not be effective. As we are currently subject to these SEC requirements, this ASU is not expected to have a material impact on our Consolidated Financial Statements or related disclosures.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No other new accounting pronouncements issued or effective during fiscal 2026 have had, or are expected to have, a material impact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4"/>
        </w:rPr>
      </w:pPr>
      <w:r>
        <w:rPr>
          <w:rFonts w:ascii="Times New Roman;serif" w:hAnsi="Times New Roman;serif"/>
          <w:b/>
          <w:color w:val="000000"/>
          <w:sz w:val="24"/>
        </w:rPr>
        <w:t xml:space="preserve">3. REVENUE RECOGNITION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derive most of our revenues through subscription-based client access to our Hosted Platform, that include various combinations of products and services including workstations, portfolio analytics, enterprise data solutions and AI solutions. We also derive revenues through the CGS Identifier Platform, a subscription-based service that provides access to a database of universally recognized security identifiers and related descriptive data for issuers and their financial instruments.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majority of each of our contracts with clients, whether for the Hosted Platform or Identifier Platform services, represents a single performance obligation covering a series of distinct products and services that are substantially the same and that have the same pattern of transfer to the client. The primary nature of the promise to the client is to provide daily access to each of these data and analytics platforms over the associated contractual term. These platforms provide integrated financial information, analytical applications and industry-leading service for the investment community. Based on the nature of the products and services offered by these platforms, we apply an output time-based measure of progress as the client is simultaneously receiving and consuming the benefits of the respective platform. We recognize revenue for the majority of these platforms in accordance with the 'as invoiced' practical expedient, because the consideration that we have the right to invoice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corresponds directly with the value of our performance to date. We record revenues net of sales taxes which are subsequently remitted to taxing authorities and are excluded from the transaction price. There are no significant judgments that would impact the timing of revenue recognition.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majority of client contracts have a duration of one year, or the amount we are entitled to receive corresponds directly with the value of our performance obligations completed to date. Therefore, we do not disclose the value of the remaining unsatisfied performance obligations. </w:t>
      </w:r>
    </w:p>
    <w:p>
      <w:pPr>
        <w:pStyle w:val="TextBody"/>
        <w:bidi w:val="0"/>
        <w:spacing w:lineRule="auto" w:line="288" w:before="200" w:after="283"/>
        <w:jc w:val="both"/>
        <w:rPr/>
      </w:pPr>
      <w:r>
        <w:rPr>
          <w:rFonts w:ascii="Times New Roman;serif" w:hAnsi="Times New Roman;serif"/>
          <w:b w:val="false"/>
          <w:i/>
          <w:color w:val="000000"/>
          <w:sz w:val="20"/>
        </w:rPr>
        <w:t>Disaggregated Revenues</w:t>
      </w:r>
      <w:r>
        <w:rPr>
          <w:color w:val="000000"/>
        </w:rPr>
        <w:t> </w:t>
      </w:r>
    </w:p>
    <w:p>
      <w:pPr>
        <w:pStyle w:val="TextBody"/>
        <w:bidi w:val="0"/>
        <w:spacing w:lineRule="auto" w:line="288" w:before="200" w:after="283"/>
        <w:jc w:val="both"/>
        <w:rPr/>
      </w:pPr>
      <w:r>
        <w:rPr>
          <w:rFonts w:ascii="Times New Roman;serif" w:hAnsi="Times New Roman;serif"/>
          <w:b w:val="false"/>
          <w:color w:val="000000"/>
          <w:sz w:val="20"/>
        </w:rPr>
        <w:t xml:space="preserve">We disaggregate revenues from our client contracts by segment based on the geographic region where our clients contract with us. Our business segmentation by geography is aligned with the operational and economic characteristics of our business. Refer to Note 16, </w:t>
      </w:r>
      <w:r>
        <w:rPr>
          <w:rFonts w:ascii="Times New Roman;serif" w:hAnsi="Times New Roman;serif"/>
          <w:b w:val="false"/>
          <w:i/>
          <w:color w:val="000000"/>
          <w:sz w:val="20"/>
        </w:rPr>
        <w:t>Segment Information</w:t>
      </w:r>
      <w:r>
        <w:rPr>
          <w:rFonts w:ascii="Times New Roman;serif" w:hAnsi="Times New Roman;serif"/>
          <w:b w:val="false"/>
          <w:color w:val="000000"/>
          <w:sz w:val="20"/>
        </w:rPr>
        <w:t>, for further information.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revenues disaggregated by segment:</w:t>
      </w:r>
    </w:p>
    <w:tbl>
      <w:tblPr>
        <w:tblW w:w="5981" w:type="dxa"/>
        <w:jc w:val="left"/>
        <w:tblInd w:w="0" w:type="dxa"/>
        <w:tblLayout w:type="fixed"/>
        <w:tblCellMar>
          <w:top w:w="28" w:type="dxa"/>
          <w:left w:w="28" w:type="dxa"/>
          <w:bottom w:w="28" w:type="dxa"/>
          <w:right w:w="28" w:type="dxa"/>
        </w:tblCellMar>
      </w:tblPr>
      <w:tblGrid>
        <w:gridCol w:w="505"/>
        <w:gridCol w:w="444"/>
        <w:gridCol w:w="445"/>
        <w:gridCol w:w="211"/>
        <w:gridCol w:w="976"/>
        <w:gridCol w:w="109"/>
        <w:gridCol w:w="109"/>
        <w:gridCol w:w="109"/>
        <w:gridCol w:w="109"/>
        <w:gridCol w:w="211"/>
        <w:gridCol w:w="976"/>
        <w:gridCol w:w="109"/>
        <w:gridCol w:w="109"/>
        <w:gridCol w:w="109"/>
        <w:gridCol w:w="109"/>
        <w:gridCol w:w="211"/>
        <w:gridCol w:w="976"/>
        <w:gridCol w:w="154"/>
      </w:tblGrid>
      <w:tr>
        <w:trPr/>
        <w:tc>
          <w:tcPr>
            <w:tcW w:w="50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Years ended August 31,</w:t>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139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1,617,438 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1,506,108 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1,419,901 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605,339 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580,284 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563,128 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2,476,256 </w:t>
            </w:r>
          </w:p>
        </w:tc>
        <w:tc>
          <w:tcPr>
            <w:tcW w:w="109"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2,321,748 </w:t>
            </w:r>
          </w:p>
        </w:tc>
        <w:tc>
          <w:tcPr>
            <w:tcW w:w="109"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2,203,056 </w:t>
            </w:r>
          </w:p>
        </w:tc>
        <w:tc>
          <w:tcPr>
            <w:tcW w:w="154"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not disclosed revenues from external clients by product and service, as it is impracticable for us to do so.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4"/>
        </w:rPr>
      </w:pPr>
      <w:r>
        <w:rPr>
          <w:rFonts w:ascii="Times New Roman;serif" w:hAnsi="Times New Roman;serif"/>
          <w:b/>
          <w:color w:val="000000"/>
          <w:sz w:val="24"/>
        </w:rPr>
        <w:t>4. FAIR VALUE MEASURES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Fair value is defined as the price that would be received from selling an asset or paid to transfer a liability (i.e., the "exit price") in an orderly transaction between market participants at the measurement date. In determining fair value, the use of various valuation methodologies, including market, income and cost approaches are permissible. When pricing an asset or liability, the inputs to these valuation methodologies consider market comparable information, taking into account the principal or most advantageous market in which we would transact.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Fair Value Hierarchy </w:t>
      </w:r>
    </w:p>
    <w:p>
      <w:pPr>
        <w:pStyle w:val="TextBody"/>
        <w:bidi w:val="0"/>
        <w:spacing w:lineRule="auto" w:line="288" w:before="200" w:after="283"/>
        <w:jc w:val="both"/>
        <w:rPr/>
      </w:pPr>
      <w:r>
        <w:rPr>
          <w:rFonts w:ascii="Times New Roman;serif" w:hAnsi="Times New Roman;serif"/>
          <w:b w:val="false"/>
          <w:color w:val="000000"/>
          <w:sz w:val="20"/>
        </w:rPr>
        <w:t>The accounting guidance for fair value measurements establishes a three-level fair value hierarchy that requires an entity to maximize the use of observable inputs and minimize the use of unobservable inputs when measuring fair value. The hierarchy ranks the reliability of the inputs, based upon the lowest level of input that is significant to the fair value measurement, used to determine fair value. Our assessment of the significance of a particular input to the fair value measurement requires judgment and may affect its placement within the fair value hierarchy. We have categorized our assets and liabilities within the fair value hierarchy as follows:</w:t>
      </w:r>
      <w:r>
        <w:rPr>
          <w:color w:val="000000"/>
        </w:rPr>
        <w:t> </w:t>
      </w:r>
    </w:p>
    <w:p>
      <w:pPr>
        <w:pStyle w:val="TextBody"/>
        <w:bidi w:val="0"/>
        <w:spacing w:lineRule="auto" w:line="288" w:before="200" w:after="283"/>
        <w:jc w:val="both"/>
        <w:rPr/>
      </w:pPr>
      <w:r>
        <w:rPr>
          <w:rFonts w:ascii="Times New Roman;serif" w:hAnsi="Times New Roman;serif"/>
          <w:b w:val="false"/>
          <w:i/>
          <w:color w:val="000000"/>
          <w:sz w:val="20"/>
          <w:u w:val="single"/>
        </w:rPr>
        <w:t>Level 1</w:t>
      </w:r>
      <w:r>
        <w:rPr>
          <w:color w:val="000000"/>
        </w:rPr>
        <w:t xml:space="preserve"> – </w:t>
      </w:r>
      <w:r>
        <w:rPr>
          <w:rFonts w:ascii="Times New Roman;serif" w:hAnsi="Times New Roman;serif"/>
          <w:b w:val="false"/>
          <w:color w:val="000000"/>
          <w:sz w:val="20"/>
        </w:rPr>
        <w:t xml:space="preserve">applies to assets or liabilities for which there are quoted prices in active markets for identical assets or liabilities. </w:t>
      </w:r>
    </w:p>
    <w:p>
      <w:pPr>
        <w:pStyle w:val="TextBody"/>
        <w:bidi w:val="0"/>
        <w:spacing w:lineRule="auto" w:line="288" w:before="200" w:after="283"/>
        <w:jc w:val="both"/>
        <w:rPr/>
      </w:pPr>
      <w:r>
        <w:rPr>
          <w:rFonts w:ascii="Times New Roman;serif" w:hAnsi="Times New Roman;serif"/>
          <w:b w:val="false"/>
          <w:i/>
          <w:color w:val="000000"/>
          <w:sz w:val="20"/>
          <w:u w:val="single"/>
        </w:rPr>
        <w:t>Level 2</w:t>
      </w:r>
      <w:r>
        <w:rPr>
          <w:color w:val="000000"/>
        </w:rPr>
        <w:t xml:space="preserve"> – </w:t>
      </w:r>
      <w:r>
        <w:rPr>
          <w:rFonts w:ascii="Times New Roman;serif" w:hAnsi="Times New Roman;serif"/>
          <w:b w:val="false"/>
          <w:color w:val="000000"/>
          <w:sz w:val="20"/>
        </w:rPr>
        <w:t xml:space="preserve">applies to assets or liabilities for which there are inputs other than quoted prices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 </w:t>
      </w:r>
    </w:p>
    <w:p>
      <w:pPr>
        <w:pStyle w:val="TextBody"/>
        <w:bidi w:val="0"/>
        <w:spacing w:lineRule="auto" w:line="288" w:before="200" w:after="283"/>
        <w:jc w:val="both"/>
        <w:rPr/>
      </w:pPr>
      <w:r>
        <w:rPr>
          <w:rFonts w:ascii="Times New Roman;serif" w:hAnsi="Times New Roman;serif"/>
          <w:b w:val="false"/>
          <w:i/>
          <w:color w:val="000000"/>
          <w:sz w:val="20"/>
          <w:u w:val="single"/>
        </w:rPr>
        <w:t>Level 3</w:t>
      </w:r>
      <w:r>
        <w:rPr>
          <w:color w:val="000000"/>
        </w:rPr>
        <w:t xml:space="preserve"> – </w:t>
      </w:r>
      <w:r>
        <w:rPr>
          <w:rFonts w:ascii="Times New Roman;serif" w:hAnsi="Times New Roman;serif"/>
          <w:b w:val="false"/>
          <w:color w:val="000000"/>
          <w:sz w:val="20"/>
        </w:rPr>
        <w:t>applies to assets or liabilities for which there are unobservable inputs to the valuation methodology that are significant to the measurement of the fair value of the assets or liabilities.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assumptions used in determining fair value represent our best estimates, but these estimates involve inherent uncertainties and the application of our judgment. As a result, if factors change, our fair value estimates could be materially different in the future and may adversely affect our business and financial results.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(a) Assets and Liabilities Measured at Fair Value on a Recurring Basis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show, by level within the fair value hierarchy, our assets and liabilities that are measured at fair value on a recurring basis as of August 31, 2026 and August 31, 2025. We did not have any transfers between levels of fair value measurements during fiscal 2026 and 2025. </w:t>
      </w:r>
    </w:p>
    <w:tbl>
      <w:tblPr>
        <w:tblW w:w="7478" w:type="dxa"/>
        <w:jc w:val="left"/>
        <w:tblInd w:w="0" w:type="dxa"/>
        <w:tblLayout w:type="fixed"/>
        <w:tblCellMar>
          <w:top w:w="28" w:type="dxa"/>
          <w:left w:w="28" w:type="dxa"/>
          <w:bottom w:w="28" w:type="dxa"/>
          <w:right w:w="28" w:type="dxa"/>
        </w:tblCellMar>
      </w:tblPr>
      <w:tblGrid>
        <w:gridCol w:w="1184"/>
        <w:gridCol w:w="1041"/>
        <w:gridCol w:w="1044"/>
        <w:gridCol w:w="211"/>
        <w:gridCol w:w="721"/>
        <w:gridCol w:w="109"/>
        <w:gridCol w:w="211"/>
        <w:gridCol w:w="721"/>
        <w:gridCol w:w="109"/>
        <w:gridCol w:w="211"/>
        <w:gridCol w:w="721"/>
        <w:gridCol w:w="109"/>
        <w:gridCol w:w="211"/>
        <w:gridCol w:w="721"/>
        <w:gridCol w:w="154"/>
      </w:tblGrid>
      <w:tr>
        <w:trPr/>
        <w:tc>
          <w:tcPr>
            <w:tcW w:w="118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420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Measurements as of August 31, 2026</w:t>
            </w:r>
          </w:p>
        </w:tc>
      </w:tr>
      <w:tr>
        <w:trPr/>
        <w:tc>
          <w:tcPr>
            <w:tcW w:w="3269"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26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Assets</w:t>
            </w:r>
          </w:p>
        </w:tc>
        <w:tc>
          <w:tcPr>
            <w:tcW w:w="104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Money market funds</w:t>
            </w:r>
            <w:r>
              <w:rPr>
                <w:rFonts w:ascii="Times New Roman;serif" w:hAnsi="Times New Roman;serif"/>
                <w:b w:val="false"/>
                <w:color w:val="000000"/>
                <w:sz w:val="13"/>
              </w:rPr>
              <w:t xml:space="preserve">(1)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Mutual funds</w:t>
            </w:r>
            <w:r>
              <w:rPr>
                <w:rFonts w:ascii="Times New Roman;serif" w:hAnsi="Times New Roman;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Derivative instruments</w:t>
            </w:r>
            <w:r>
              <w:rPr>
                <w:rFonts w:ascii="Times New Roman;serif" w:hAnsi="Times New Roman;serif"/>
                <w:b w:val="false"/>
                <w:color w:val="000000"/>
                <w:sz w:val="13"/>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Total assets measured at fair value</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32,620 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57,628 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Derivative instruments</w:t>
            </w:r>
            <w:r>
              <w:rPr>
                <w:rFonts w:ascii="Times New Roman;serif" w:hAnsi="Times New Roman;serif"/>
                <w:b w:val="false"/>
                <w:color w:val="000000"/>
                <w:sz w:val="13"/>
              </w:rPr>
              <w:t>(3)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Contingent liabilities</w:t>
            </w:r>
            <w:r>
              <w:rPr>
                <w:rFonts w:ascii="Times New Roman;serif" w:hAnsi="Times New Roman;serif"/>
                <w:b w:val="false"/>
                <w:color w:val="000000"/>
                <w:sz w:val="13"/>
              </w:rPr>
              <w:t>(5)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Total liabilities measured at fair value</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10,201 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12,116 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374" w:type="dxa"/>
        <w:jc w:val="left"/>
        <w:tblInd w:w="0" w:type="dxa"/>
        <w:tblLayout w:type="fixed"/>
        <w:tblCellMar>
          <w:top w:w="28" w:type="dxa"/>
          <w:left w:w="28" w:type="dxa"/>
          <w:bottom w:w="28" w:type="dxa"/>
          <w:right w:w="28" w:type="dxa"/>
        </w:tblCellMar>
      </w:tblPr>
      <w:tblGrid>
        <w:gridCol w:w="1183"/>
        <w:gridCol w:w="1043"/>
        <w:gridCol w:w="1044"/>
        <w:gridCol w:w="211"/>
        <w:gridCol w:w="616"/>
        <w:gridCol w:w="109"/>
        <w:gridCol w:w="211"/>
        <w:gridCol w:w="721"/>
        <w:gridCol w:w="109"/>
        <w:gridCol w:w="211"/>
        <w:gridCol w:w="721"/>
        <w:gridCol w:w="109"/>
        <w:gridCol w:w="211"/>
        <w:gridCol w:w="721"/>
        <w:gridCol w:w="154"/>
      </w:tblGrid>
      <w:tr>
        <w:trPr/>
        <w:tc>
          <w:tcPr>
            <w:tcW w:w="118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410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Measurements as of August 31, 2025</w:t>
            </w:r>
          </w:p>
        </w:tc>
      </w:tr>
      <w:tr>
        <w:trPr/>
        <w:tc>
          <w:tcPr>
            <w:tcW w:w="3270" w:type="dxa"/>
            <w:gridSpan w:val="3"/>
            <w:vMerge w:val="continue"/>
            <w:tcBorders/>
            <w:tcMar>
              <w:top w:w="0" w:type="dxa"/>
              <w:left w:w="0" w:type="dxa"/>
              <w:bottom w:w="0" w:type="dxa"/>
              <w:right w:w="0" w:type="dxa"/>
            </w:tcMar>
            <w:vAlign w:val="center"/>
          </w:tcPr>
          <w:p>
            <w:pPr>
              <w:pStyle w:val="Normal"/>
              <w:bidi w:val="0"/>
              <w:jc w:val="left"/>
              <w:rPr/>
            </w:pPr>
            <w:r>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27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Assets</w:t>
            </w:r>
          </w:p>
        </w:tc>
        <w:tc>
          <w:tcPr>
            <w:tcW w:w="93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Money market funds</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Mutual funds</w:t>
            </w:r>
            <w:r>
              <w:rPr>
                <w:rFonts w:ascii="Times New Roman;serif" w:hAnsi="Times New Roman;serif"/>
                <w:b w:val="false"/>
                <w:color w:val="000000"/>
                <w:sz w:val="13"/>
              </w:rPr>
              <w:t>(2)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Derivative instruments</w:t>
            </w:r>
            <w:r>
              <w:rPr>
                <w:rFonts w:ascii="Times New Roman;serif" w:hAnsi="Times New Roman;serif"/>
                <w:b w:val="false"/>
                <w:color w:val="000000"/>
                <w:sz w:val="13"/>
              </w:rPr>
              <w:t>(3)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Total assets measured at fair value</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29,684 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Derivative instruments</w:t>
            </w:r>
            <w:r>
              <w:rPr>
                <w:rFonts w:ascii="Times New Roman;serif" w:hAnsi="Times New Roman;serif"/>
                <w:b w:val="false"/>
                <w:color w:val="000000"/>
                <w:sz w:val="13"/>
              </w:rPr>
              <w:t>(3)(4)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Contingent liability</w:t>
            </w:r>
            <w:r>
              <w:rPr>
                <w:rFonts w:ascii="Times New Roman;serif" w:hAnsi="Times New Roman;serif"/>
                <w:b w:val="false"/>
                <w:color w:val="000000"/>
                <w:sz w:val="13"/>
              </w:rPr>
              <w:t>(5)</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Total liabilities measured at fair value</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24,126 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24,934 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(1) Our money market funds are readily convertible into cash and are reported based on their net asset value, which represents its fair value, on the last day of the reporting period. The net asset values are readily determinable and represent the prices of active trading in the market. Our money market funds are included in Cash and cash equivalents within the Consolidated Balance Sheets.</w:t>
      </w:r>
    </w:p>
    <w:p>
      <w:pPr>
        <w:pStyle w:val="TextBody"/>
        <w:bidi w:val="0"/>
        <w:spacing w:lineRule="auto" w:line="288" w:before="100" w:after="283"/>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(2) Our mutual funds' fair value is based on the fair value of the underlying investments held by the mutual funds, allocated to each share of the mutual fund using a net asset value approach. The fair value of each underlying investment is based on observable inputs, when available, or pricing from valuation agencies. Our mutual funds are included in Investments within the Consolidated Balance Sheets.</w:t>
      </w:r>
    </w:p>
    <w:p>
      <w:pPr>
        <w:pStyle w:val="TextBody"/>
        <w:bidi w:val="0"/>
        <w:spacing w:lineRule="auto" w:line="288" w:before="100" w:after="283"/>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(3) Our foreign exchange forward contracts fair value is determined utilizing the income approach. The income approach uses pricing models that rely on market observable inputs such as spot, forward and interest rates, as well as credit default swap spreads. Our foreign exchange forward contracts in an asset position are included in Prepaid expenses and other current assets and those in a liability position are included in Accounts payable and accrued expenses within the Consolidated Balance Sheets.</w:t>
      </w:r>
    </w:p>
    <w:p>
      <w:pPr>
        <w:pStyle w:val="TextBody"/>
        <w:bidi w:val="0"/>
        <w:spacing w:lineRule="auto" w:line="288" w:before="100" w:after="283"/>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(4) Our interest rate swap agreements fair value is estimated utilizing a present value of future cash flows, leveraging a model-derived valuation that uses observable inputs such as interest rate yield curves. Our interest rate swap agreements in an asset position are included in Prepaid expenses and other current assets and those in a liability position are included in Accounts payable and accrued expenses within the Consolidated Balance Sheets.</w:t>
      </w:r>
    </w:p>
    <w:p>
      <w:pPr>
        <w:pStyle w:val="TextBody"/>
        <w:bidi w:val="0"/>
        <w:spacing w:lineRule="auto" w:line="288" w:before="100" w:after="283"/>
        <w:ind w:left="0" w:right="0" w:hanging="270"/>
        <w:jc w:val="both"/>
        <w:rPr/>
      </w:pPr>
      <w:r>
        <w:rPr>
          <w:rFonts w:ascii="Times New Roman;serif" w:hAnsi="Times New Roman;serif"/>
          <w:b w:val="false"/>
          <w:color w:val="000000"/>
          <w:sz w:val="18"/>
        </w:rPr>
        <w:t xml:space="preserve">(5) Our contingent liabilities resulted from the acquisitions of various businesses. These liabilities reflect the present value of potential future payments that are contingent upon the achievement of certain specified milestones and are valued using a scenario-based method. This method incorporates unobservable inputs and assumptions made by management, including the probability of achieving specified milestones, expected time until payment and the discount rate. Refer to Note 5, </w:t>
      </w:r>
      <w:r>
        <w:rPr>
          <w:rFonts w:ascii="Times New Roman;serif" w:hAnsi="Times New Roman;serif"/>
          <w:b w:val="false"/>
          <w:i/>
          <w:color w:val="000000"/>
          <w:sz w:val="18"/>
        </w:rPr>
        <w:t>Acquisitions,</w:t>
      </w:r>
      <w:r>
        <w:rPr>
          <w:color w:val="000000"/>
        </w:rPr>
        <w:t xml:space="preserve"> </w:t>
      </w:r>
      <w:r>
        <w:rPr>
          <w:rFonts w:ascii="Times New Roman;serif" w:hAnsi="Times New Roman;serif"/>
          <w:b w:val="false"/>
          <w:color w:val="000000"/>
          <w:sz w:val="18"/>
        </w:rPr>
        <w:t>for more information on the contingent liabilities associated with the Liquid Holdings LLC ("LiquidityBook") and Platform Group Limited ("Irwin")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68" w:before="200" w:after="283"/>
        <w:ind w:left="0" w:right="0" w:hanging="360"/>
        <w:jc w:val="both"/>
        <w:rPr>
          <w:rFonts w:ascii="Times New Roman;serif" w:hAnsi="Times New Roman;serif"/>
          <w:b/>
          <w:i/>
          <w:color w:val="000000"/>
          <w:sz w:val="20"/>
        </w:rPr>
      </w:pPr>
      <w:r>
        <w:rPr>
          <w:rFonts w:ascii="Times New Roman;serif" w:hAnsi="Times New Roman;serif"/>
          <w:b/>
          <w:i/>
          <w:color w:val="000000"/>
          <w:sz w:val="20"/>
        </w:rPr>
        <w:t>(b) Assets and Liabilities Measured at Fair Value on a Non-Recurring Basis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Assets that are measured at fair value on a non-recurring basis primarily include our PPE, lease ROU assets, goodwill and intangible assets. These assets are assessed for impairment whenever events or circumstances indicate their carrying value may not be fully recoverable, and at least annually for goodwill. The fair values of these non-financial assets are determined based on valuation techniques using the best information available, and may include quoted market prices, market comparable information and discounted cash flow projections.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(c) Assets and Liabilities Measured at Fair Value for Disclosure Purposes Only</w:t>
      </w:r>
    </w:p>
    <w:p>
      <w:pPr>
        <w:pStyle w:val="TextBody"/>
        <w:bidi w:val="0"/>
        <w:spacing w:lineRule="auto" w:line="288" w:before="200" w:after="283"/>
        <w:jc w:val="both"/>
        <w:rPr/>
      </w:pPr>
      <w:r>
        <w:rPr>
          <w:rFonts w:ascii="Times New Roman;serif" w:hAnsi="Times New Roman;serif"/>
          <w:b w:val="false"/>
          <w:color w:val="000000"/>
          <w:sz w:val="20"/>
        </w:rPr>
        <w:t xml:space="preserve">We elected not to carry our debt at fair value on the Consolidated Balance Sheets. Our Senior Notes are publicly traded; therefore, the fair value of our Senior Notes is estimated based on quoted prices in active markets as of the last business day of the fiscal year, which are considered Level 1 inputs. The fair value of our 2025 Credit Facilities was estimated based on quoted market prices for similar instruments, adjusted for unobservable inputs for comparability to our investment rating, maturity terms and principal outstanding, which are considered Level 3 inputs. Refer to Note 10, </w:t>
      </w:r>
      <w:r>
        <w:rPr>
          <w:rFonts w:ascii="Times New Roman;serif" w:hAnsi="Times New Roman;serif"/>
          <w:b w:val="false"/>
          <w:i/>
          <w:color w:val="000000"/>
          <w:sz w:val="20"/>
        </w:rPr>
        <w:t xml:space="preserve">Debt </w:t>
      </w:r>
      <w:r>
        <w:rPr>
          <w:rFonts w:ascii="Times New Roman;serif" w:hAnsi="Times New Roman;serif"/>
          <w:b w:val="false"/>
          <w:color w:val="000000"/>
          <w:sz w:val="20"/>
        </w:rPr>
        <w:t>for definitions of, and more information on, our Senior Notes and 2025 Credit Facilities.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information on our outstanding debt as of August 31, 2026 and August 31, 2025:</w:t>
      </w:r>
    </w:p>
    <w:tbl>
      <w:tblPr>
        <w:tblW w:w="10205" w:type="dxa"/>
        <w:jc w:val="left"/>
        <w:tblInd w:w="0" w:type="dxa"/>
        <w:tblLayout w:type="fixed"/>
        <w:tblCellMar>
          <w:top w:w="28" w:type="dxa"/>
          <w:left w:w="28" w:type="dxa"/>
          <w:bottom w:w="28" w:type="dxa"/>
          <w:right w:w="28" w:type="dxa"/>
        </w:tblCellMar>
      </w:tblPr>
      <w:tblGrid>
        <w:gridCol w:w="1030"/>
        <w:gridCol w:w="820"/>
        <w:gridCol w:w="821"/>
        <w:gridCol w:w="432"/>
        <w:gridCol w:w="432"/>
        <w:gridCol w:w="433"/>
        <w:gridCol w:w="229"/>
        <w:gridCol w:w="1060"/>
        <w:gridCol w:w="118"/>
        <w:gridCol w:w="247"/>
        <w:gridCol w:w="1147"/>
        <w:gridCol w:w="127"/>
        <w:gridCol w:w="109"/>
        <w:gridCol w:w="109"/>
        <w:gridCol w:w="109"/>
        <w:gridCol w:w="229"/>
        <w:gridCol w:w="1060"/>
        <w:gridCol w:w="118"/>
        <w:gridCol w:w="246"/>
        <w:gridCol w:w="1141"/>
        <w:gridCol w:w="188"/>
      </w:tblGrid>
      <w:tr>
        <w:trPr/>
        <w:tc>
          <w:tcPr>
            <w:tcW w:w="103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2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2025</w:t>
            </w:r>
          </w:p>
        </w:tc>
      </w:tr>
      <w:tr>
        <w:trPr/>
        <w:tc>
          <w:tcPr>
            <w:tcW w:w="2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Hierarchy</w:t>
            </w:r>
          </w:p>
        </w:tc>
        <w:tc>
          <w:tcPr>
            <w:tcW w:w="14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Amount</w:t>
            </w:r>
          </w:p>
        </w:tc>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Amount</w:t>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Estimated Fair Value</w:t>
            </w:r>
          </w:p>
        </w:tc>
      </w:tr>
      <w:tr>
        <w:trPr/>
        <w:tc>
          <w:tcPr>
            <w:tcW w:w="267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 Notes</w:t>
            </w:r>
          </w:p>
        </w:tc>
        <w:tc>
          <w:tcPr>
            <w:tcW w:w="1297"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22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1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495,510 </w:t>
            </w:r>
          </w:p>
        </w:tc>
        <w:tc>
          <w:tcPr>
            <w:tcW w:w="12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1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490,565 </w:t>
            </w:r>
          </w:p>
        </w:tc>
        <w:tc>
          <w:tcPr>
            <w:tcW w:w="18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2032 Notes</w:t>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450,485 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460,440 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2025 Term Facility</w:t>
            </w:r>
            <w:r>
              <w:rPr>
                <w:rFonts w:ascii="Times New Roman;serif" w:hAnsi="Times New Roman;serif"/>
                <w:b w:val="false"/>
                <w:color w:val="000000"/>
                <w:sz w:val="13"/>
              </w:rPr>
              <w:t>(1)</w:t>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373,375 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374,866 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r>
      <w:tr>
        <w:trPr/>
        <w:tc>
          <w:tcPr>
            <w:tcW w:w="2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principal amount</w:t>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1,375,000 </w:t>
            </w:r>
          </w:p>
        </w:tc>
        <w:tc>
          <w:tcPr>
            <w:tcW w:w="11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1,319,370 </w:t>
            </w:r>
          </w:p>
        </w:tc>
        <w:tc>
          <w:tcPr>
            <w:tcW w:w="12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1,375,000 </w:t>
            </w:r>
          </w:p>
        </w:tc>
        <w:tc>
          <w:tcPr>
            <w:tcW w:w="11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1,325,871 </w:t>
            </w:r>
          </w:p>
        </w:tc>
        <w:tc>
          <w:tcPr>
            <w:tcW w:w="18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unamortized discounts and debt issuance costs</w:t>
            </w:r>
            <w:r>
              <w:rPr>
                <w:rFonts w:ascii="Times New Roman;serif" w:hAnsi="Times New Roman;serif"/>
                <w:b w:val="false"/>
                <w:color w:val="000000"/>
                <w:sz w:val="13"/>
              </w:rPr>
              <w:t>(2)</w:t>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carrying value of debt</w:t>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1,370,022 </w:t>
            </w:r>
          </w:p>
        </w:tc>
        <w:tc>
          <w:tcPr>
            <w:tcW w:w="11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1,368,260 </w:t>
            </w:r>
          </w:p>
        </w:tc>
        <w:tc>
          <w:tcPr>
            <w:tcW w:w="11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pPr>
      <w:r>
        <w:rPr>
          <w:rFonts w:ascii="Times New Roman;serif" w:hAnsi="Times New Roman;serif"/>
          <w:b w:val="false"/>
          <w:color w:val="000000"/>
          <w:sz w:val="18"/>
        </w:rPr>
        <w:t xml:space="preserve">(1) On August 28, 2026, we amended the 2025 Credit Agreement. Refer to Note 10, </w:t>
      </w:r>
      <w:r>
        <w:rPr>
          <w:rFonts w:ascii="Times New Roman;serif" w:hAnsi="Times New Roman;serif"/>
          <w:b w:val="false"/>
          <w:i/>
          <w:color w:val="000000"/>
          <w:sz w:val="18"/>
        </w:rPr>
        <w:t>Debt,</w:t>
      </w:r>
      <w:r>
        <w:rPr>
          <w:color w:val="000000"/>
        </w:rPr>
        <w:t xml:space="preserve"> </w:t>
      </w:r>
      <w:r>
        <w:rPr>
          <w:rFonts w:ascii="Times New Roman;serif" w:hAnsi="Times New Roman;serif"/>
          <w:b w:val="false"/>
          <w:color w:val="000000"/>
          <w:sz w:val="18"/>
        </w:rPr>
        <w:t xml:space="preserve">for further information. </w:t>
      </w:r>
    </w:p>
    <w:p>
      <w:pPr>
        <w:pStyle w:val="TextBody"/>
        <w:bidi w:val="0"/>
        <w:spacing w:lineRule="auto" w:line="288" w:before="60" w:after="283"/>
        <w:ind w:left="0" w:right="0" w:hanging="270"/>
        <w:jc w:val="both"/>
        <w:rPr/>
      </w:pPr>
      <w:r>
        <w:rPr>
          <w:rFonts w:ascii="Times New Roman;serif" w:hAnsi="Times New Roman;serif"/>
          <w:b w:val="false"/>
          <w:color w:val="000000"/>
          <w:sz w:val="18"/>
        </w:rPr>
        <w:t>(2)</w:t>
      </w:r>
      <w:r>
        <w:rPr>
          <w:color w:val="000000"/>
        </w:rPr>
        <w:t xml:space="preserve"> </w:t>
      </w:r>
      <w:r>
        <w:rPr>
          <w:rFonts w:ascii="Times New Roman;serif" w:hAnsi="Times New Roman;serif"/>
          <w:b w:val="false"/>
          <w:color w:val="000000"/>
          <w:sz w:val="18"/>
        </w:rPr>
        <w:t xml:space="preserve">Debt issuance costs are presented in the Consolidated Balance Sheets as a direct deduction from the carrying amount of the debt liability for the 2025 Term Facility, 2027 Notes and 2032 Notes. For the 2025 Revolving Facility, debt issuance costs are presented within Other assets, as such, they are excluded from the table above. Refer to Note 10, </w:t>
      </w:r>
      <w:r>
        <w:rPr>
          <w:rFonts w:ascii="Times New Roman;serif" w:hAnsi="Times New Roman;serif"/>
          <w:b w:val="false"/>
          <w:i/>
          <w:color w:val="000000"/>
          <w:sz w:val="18"/>
        </w:rPr>
        <w:t>Debt</w:t>
      </w:r>
      <w:r>
        <w:rPr>
          <w:color w:val="000000"/>
        </w:rPr>
        <w:t xml:space="preserve"> </w:t>
      </w:r>
      <w:r>
        <w:rPr>
          <w:rFonts w:ascii="Times New Roman;serif" w:hAnsi="Times New Roman;serif"/>
          <w:b w:val="false"/>
          <w:color w:val="000000"/>
          <w:sz w:val="18"/>
        </w:rPr>
        <w:t>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4"/>
        </w:rPr>
      </w:pPr>
      <w:r>
        <w:rPr>
          <w:rFonts w:ascii="Times New Roman;serif" w:hAnsi="Times New Roman;serif"/>
          <w:b/>
          <w:color w:val="000000"/>
          <w:sz w:val="24"/>
        </w:rPr>
        <w:t>5. ACQUISITIONS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acquisitions with the most significant cash flows during fiscal 2024 through fiscal 2026 included Liquid Holdings, LLC ("LiquidityBook") and Platform Group Limited ("Irwin").</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Liquid Holdings, LLC ("LiquidityBook")</w:t>
      </w:r>
    </w:p>
    <w:p>
      <w:pPr>
        <w:pStyle w:val="TextBody"/>
        <w:bidi w:val="0"/>
        <w:spacing w:lineRule="auto" w:line="288" w:before="200" w:after="283"/>
        <w:jc w:val="both"/>
        <w:rPr/>
      </w:pPr>
      <w:r>
        <w:rPr>
          <w:rFonts w:ascii="Times New Roman;serif" w:hAnsi="Times New Roman;serif"/>
          <w:b w:val="false"/>
          <w:color w:val="000000"/>
          <w:sz w:val="20"/>
        </w:rPr>
        <w:t xml:space="preserve">On February 7, 2025, we completed the acquisition of LiquidityBook for a purchase price of $243.2 million, net of cash acquired, and inclusive of working capital adjustments. The purchase price included contingent consideration of $11.9 million, which reflects the acquisition date fair value of potential future payments that are contingent upon the achievement of certain specified milestones. Refer to Note 4, </w:t>
      </w:r>
      <w:r>
        <w:rPr>
          <w:rFonts w:ascii="Times New Roman;serif" w:hAnsi="Times New Roman;serif"/>
          <w:b w:val="false"/>
          <w:i/>
          <w:color w:val="000000"/>
          <w:sz w:val="20"/>
        </w:rPr>
        <w:t>Fair Value Measures,</w:t>
      </w:r>
      <w:r>
        <w:rPr>
          <w:color w:val="000000"/>
        </w:rPr>
        <w:t xml:space="preserve"> </w:t>
      </w:r>
      <w:r>
        <w:rPr>
          <w:rFonts w:ascii="Times New Roman;serif" w:hAnsi="Times New Roman;serif"/>
          <w:b w:val="false"/>
          <w:color w:val="000000"/>
          <w:sz w:val="20"/>
        </w:rPr>
        <w:t>for information regarding the contingent consideration.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LiquidityBook provides cloud-native trading solutions to hedge fund, asset and wealth management, outsourced trading, and sell-side middle office clients. LiquidityBook operates a proprietary FIX network that, as of the acquisition date, enabled streamlined connectivity to over 200 brokers and order routing to more than 1,600 destinations across 80 markets globally. This acquisition adds technology-forward order management and investment book of record capabilities and enhances FactSet’s ability to serve the integrated workflow needs of clients across the portfolio life cycle.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results of LiquidityBook's operations have been included within the Americas, EMEA and Asia Pacific segments in our Consolidated Financial Statements. Pro forma information has not been presented because the effect of the LiquidityBook acquisition was not material to our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finalized the purchase accounting for the LiquidityBook acquisition during the second quarter of fiscal 2026 and did not record any material changes to the preliminary purchase price allocation. The acquisition date fair values of major classes of assets acquired and liabilities assumed are as follows:</w:t>
      </w:r>
    </w:p>
    <w:tbl>
      <w:tblPr>
        <w:tblW w:w="9236" w:type="dxa"/>
        <w:jc w:val="left"/>
        <w:tblInd w:w="0" w:type="dxa"/>
        <w:tblLayout w:type="fixed"/>
        <w:tblCellMar>
          <w:top w:w="28" w:type="dxa"/>
          <w:left w:w="28" w:type="dxa"/>
          <w:bottom w:w="28" w:type="dxa"/>
          <w:right w:w="28" w:type="dxa"/>
        </w:tblCellMar>
      </w:tblPr>
      <w:tblGrid>
        <w:gridCol w:w="911"/>
        <w:gridCol w:w="801"/>
        <w:gridCol w:w="807"/>
        <w:gridCol w:w="436"/>
        <w:gridCol w:w="1708"/>
        <w:gridCol w:w="225"/>
        <w:gridCol w:w="809"/>
        <w:gridCol w:w="809"/>
        <w:gridCol w:w="811"/>
        <w:gridCol w:w="561"/>
        <w:gridCol w:w="561"/>
        <w:gridCol w:w="797"/>
      </w:tblGrid>
      <w:tr>
        <w:trPr/>
        <w:tc>
          <w:tcPr>
            <w:tcW w:w="91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Acquisition Date Fair Value</w:t>
            </w:r>
          </w:p>
        </w:tc>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Acquisition Date Useful Life</w:t>
            </w:r>
          </w:p>
        </w:tc>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Amortization Method</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years)</w:t>
            </w:r>
          </w:p>
        </w:tc>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3,893 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Amortizable intangible assets</w:t>
            </w:r>
          </w:p>
        </w:tc>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Software technology</w:t>
            </w:r>
          </w:p>
        </w:tc>
        <w:tc>
          <w:tcPr>
            <w:tcW w:w="2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65,600 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 years</w:t>
            </w:r>
          </w:p>
        </w:tc>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Straight-line</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Client relationships</w:t>
            </w:r>
          </w:p>
        </w:tc>
        <w:tc>
          <w:tcPr>
            <w:tcW w:w="2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 years</w:t>
            </w:r>
          </w:p>
        </w:tc>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Straight-line</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Trade names</w:t>
            </w:r>
          </w:p>
        </w:tc>
        <w:tc>
          <w:tcPr>
            <w:tcW w:w="2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 years</w:t>
            </w:r>
          </w:p>
        </w:tc>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Straight-line</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2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164,787 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2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Deferred revenues</w:t>
            </w:r>
          </w:p>
        </w:tc>
        <w:tc>
          <w:tcPr>
            <w:tcW w:w="2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current liabilities</w:t>
            </w:r>
          </w:p>
        </w:tc>
        <w:tc>
          <w:tcPr>
            <w:tcW w:w="2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2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price</w:t>
            </w:r>
          </w:p>
        </w:tc>
        <w:tc>
          <w:tcPr>
            <w:tcW w:w="4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243,182 </w:t>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00"/>
        <w:jc w:val="both"/>
        <w:rPr>
          <w:rFonts w:ascii="Times New Roman;serif" w:hAnsi="Times New Roman;serif"/>
          <w:b w:val="false"/>
          <w:color w:val="000000"/>
          <w:sz w:val="20"/>
        </w:rPr>
      </w:pPr>
      <w:r>
        <w:rPr>
          <w:rFonts w:ascii="Times New Roman;serif" w:hAnsi="Times New Roman;serif"/>
          <w:b w:val="false"/>
          <w:color w:val="000000"/>
          <w:sz w:val="20"/>
        </w:rPr>
        <w:t>Goodwill totaling $164.8 million represents the excess of the LiquidityBook purchase price over the fair value of net assets acquired and considers future economic benefits that we expect to achieve as a result of the acquisition. The goodwill is included in the Americas, EMEA and Asia Pacific segments and is deductible for income tax purposes.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Platform Group Limited ("Irwin")</w:t>
      </w:r>
    </w:p>
    <w:p>
      <w:pPr>
        <w:pStyle w:val="TextBody"/>
        <w:bidi w:val="0"/>
        <w:spacing w:lineRule="auto" w:line="288" w:before="200" w:after="283"/>
        <w:jc w:val="both"/>
        <w:rPr/>
      </w:pPr>
      <w:r>
        <w:rPr>
          <w:rFonts w:ascii="Times New Roman;serif" w:hAnsi="Times New Roman;serif"/>
          <w:b w:val="false"/>
          <w:color w:val="000000"/>
          <w:sz w:val="20"/>
        </w:rPr>
        <w:t xml:space="preserve">On November 5, 2024, we completed the acquisition of Irwin for a purchase price of $120.2 million, net of cash acquired, and inclusive of working capital adjustments. The purchase price included contingent consideration of $9.6 million, which reflects the acquisition date fair value of potential future payments that are contingent upon the achievement of certain specified milestones. Refer to Note 4, </w:t>
      </w:r>
      <w:r>
        <w:rPr>
          <w:rFonts w:ascii="Times New Roman;serif" w:hAnsi="Times New Roman;serif"/>
          <w:b w:val="false"/>
          <w:i/>
          <w:color w:val="000000"/>
          <w:sz w:val="20"/>
        </w:rPr>
        <w:t>Fair Value Measures,</w:t>
      </w:r>
      <w:r>
        <w:rPr>
          <w:color w:val="000000"/>
        </w:rPr>
        <w:t xml:space="preserve"> </w:t>
      </w:r>
      <w:r>
        <w:rPr>
          <w:rFonts w:ascii="Times New Roman;serif" w:hAnsi="Times New Roman;serif"/>
          <w:b w:val="false"/>
          <w:color w:val="000000"/>
          <w:sz w:val="20"/>
        </w:rPr>
        <w:t xml:space="preserve">for information regarding the contingent consideration.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Irwin is a leading investor relations and capital markets platform for public companies and their advisors. This acquisition builds on a successful partnership between FactSet and Irwin, and expands our ability to address the holistic workflow needs of investor relations professionals with an integrated, modern solution.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results of Irwin's operations have been included within the Americas, EMEA and Asia Pacific segments in our Consolidated Financial Statements. Pro forma information has not been presented because the effect of the Irwin acquisition was not material to our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finalized the purchase accounting for the Irwin acquisition during the third quarter of fiscal 2025 and did not record any material changes to the preliminary purchase price allocation. The acquisition date fair values of major classes of assets acquired and liabilities assumed are as follows:</w:t>
      </w:r>
    </w:p>
    <w:tbl>
      <w:tblPr>
        <w:tblW w:w="9236" w:type="dxa"/>
        <w:jc w:val="left"/>
        <w:tblInd w:w="0" w:type="dxa"/>
        <w:tblLayout w:type="fixed"/>
        <w:tblCellMar>
          <w:top w:w="28" w:type="dxa"/>
          <w:left w:w="28" w:type="dxa"/>
          <w:bottom w:w="28" w:type="dxa"/>
          <w:right w:w="28" w:type="dxa"/>
        </w:tblCellMar>
      </w:tblPr>
      <w:tblGrid>
        <w:gridCol w:w="911"/>
        <w:gridCol w:w="801"/>
        <w:gridCol w:w="807"/>
        <w:gridCol w:w="436"/>
        <w:gridCol w:w="1708"/>
        <w:gridCol w:w="225"/>
        <w:gridCol w:w="809"/>
        <w:gridCol w:w="809"/>
        <w:gridCol w:w="811"/>
        <w:gridCol w:w="561"/>
        <w:gridCol w:w="561"/>
        <w:gridCol w:w="797"/>
      </w:tblGrid>
      <w:tr>
        <w:trPr/>
        <w:tc>
          <w:tcPr>
            <w:tcW w:w="91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Acquisition Date Fair Value</w:t>
            </w:r>
          </w:p>
        </w:tc>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Acquisition Date Useful Life</w:t>
            </w:r>
          </w:p>
        </w:tc>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Amortization Method</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years)</w:t>
            </w:r>
          </w:p>
        </w:tc>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Amortizable intangible assets</w:t>
            </w:r>
          </w:p>
        </w:tc>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technology</w:t>
            </w:r>
          </w:p>
        </w:tc>
        <w:tc>
          <w:tcPr>
            <w:tcW w:w="2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36,100 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 years</w:t>
            </w:r>
          </w:p>
        </w:tc>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Straight-line</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Client relationships</w:t>
            </w:r>
          </w:p>
        </w:tc>
        <w:tc>
          <w:tcPr>
            <w:tcW w:w="2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 years</w:t>
            </w:r>
          </w:p>
        </w:tc>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Straight-line</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2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 years</w:t>
            </w:r>
          </w:p>
        </w:tc>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Straight-line</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2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91,376 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Deferred revenues</w:t>
            </w:r>
          </w:p>
        </w:tc>
        <w:tc>
          <w:tcPr>
            <w:tcW w:w="2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(4,218)</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current liabilities</w:t>
            </w:r>
          </w:p>
        </w:tc>
        <w:tc>
          <w:tcPr>
            <w:tcW w:w="2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2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purchase price</w:t>
            </w:r>
          </w:p>
        </w:tc>
        <w:tc>
          <w:tcPr>
            <w:tcW w:w="4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120,186 </w:t>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00"/>
        <w:jc w:val="both"/>
        <w:rPr>
          <w:rFonts w:ascii="Times New Roman;serif" w:hAnsi="Times New Roman;serif"/>
          <w:b w:val="false"/>
          <w:color w:val="000000"/>
          <w:sz w:val="20"/>
        </w:rPr>
      </w:pPr>
      <w:r>
        <w:rPr>
          <w:rFonts w:ascii="Times New Roman;serif" w:hAnsi="Times New Roman;serif"/>
          <w:b w:val="false"/>
          <w:color w:val="000000"/>
          <w:sz w:val="20"/>
        </w:rPr>
        <w:t>Goodwill totaling $91.4 million represents the excess of the Irwin purchase price over the fair value of net assets acquired and considers future economic benefits that we expect to achieve as a result of the acquisition. The goodwill is included in the Americas and EMEA segments and is not deductible for income tax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4"/>
        </w:rPr>
      </w:pPr>
      <w:r>
        <w:rPr>
          <w:rFonts w:ascii="Times New Roman;serif" w:hAnsi="Times New Roman;serif"/>
          <w:b/>
          <w:color w:val="000000"/>
          <w:sz w:val="24"/>
        </w:rPr>
        <w:t>6. GOODWILL</w:t>
      </w:r>
    </w:p>
    <w:p>
      <w:pPr>
        <w:pStyle w:val="TextBody"/>
        <w:bidi w:val="0"/>
        <w:spacing w:lineRule="auto" w:line="288" w:before="200" w:after="100"/>
        <w:jc w:val="left"/>
        <w:rPr>
          <w:rFonts w:ascii="Times New Roman;serif" w:hAnsi="Times New Roman;serif"/>
          <w:b w:val="false"/>
          <w:color w:val="000000"/>
          <w:sz w:val="20"/>
        </w:rPr>
      </w:pPr>
      <w:r>
        <w:rPr>
          <w:rFonts w:ascii="Times New Roman;serif" w:hAnsi="Times New Roman;serif"/>
          <w:b w:val="false"/>
          <w:color w:val="000000"/>
          <w:sz w:val="20"/>
        </w:rPr>
        <w:t>Changes in the carrying value of goodwill by segment for the years ended August 31, 2026 and 2025 are as follows:</w:t>
      </w:r>
    </w:p>
    <w:tbl>
      <w:tblPr>
        <w:tblW w:w="7187" w:type="dxa"/>
        <w:jc w:val="left"/>
        <w:tblInd w:w="0" w:type="dxa"/>
        <w:tblLayout w:type="fixed"/>
        <w:tblCellMar>
          <w:top w:w="28" w:type="dxa"/>
          <w:left w:w="28" w:type="dxa"/>
          <w:bottom w:w="28" w:type="dxa"/>
          <w:right w:w="28" w:type="dxa"/>
        </w:tblCellMar>
      </w:tblPr>
      <w:tblGrid>
        <w:gridCol w:w="901"/>
        <w:gridCol w:w="793"/>
        <w:gridCol w:w="795"/>
        <w:gridCol w:w="211"/>
        <w:gridCol w:w="826"/>
        <w:gridCol w:w="109"/>
        <w:gridCol w:w="211"/>
        <w:gridCol w:w="826"/>
        <w:gridCol w:w="109"/>
        <w:gridCol w:w="216"/>
        <w:gridCol w:w="738"/>
        <w:gridCol w:w="111"/>
        <w:gridCol w:w="211"/>
        <w:gridCol w:w="976"/>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Americas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EMEA</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4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August 31, 2024</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704,454 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1,011,129 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Divestiture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3,296 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August 31, 2025</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925,752 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14,520 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1,284,708 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August 31, 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924,983 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343,695 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14,347 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1,283,025 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performed our annual goodwill impairment test during the fourth quarter of fiscal 2026 and 2025. During fiscal 2026 and 2025, we utilized a qualitative analysis and concluded there was no impairment as it was more likely than not that the fair value of each of our reporting units was not less than its respective carrying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both"/>
        <w:rPr>
          <w:rFonts w:ascii="Times New Roman;serif" w:hAnsi="Times New Roman;serif"/>
          <w:b/>
          <w:color w:val="000000"/>
          <w:sz w:val="24"/>
        </w:rPr>
      </w:pPr>
      <w:r>
        <w:rPr>
          <w:rFonts w:ascii="Times New Roman;serif" w:hAnsi="Times New Roman;serif"/>
          <w:b/>
          <w:color w:val="000000"/>
          <w:sz w:val="24"/>
        </w:rPr>
        <w:t>7. INTANGIBLE ASSETS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amortize intangible assets on a straight-line basis over their estimated useful lives. The following table presents the estimated useful life, gross carrying amount and accumulated amortization related to our identifiable intangible assets as of August 31, 2026 and August 31, 2025: </w:t>
      </w:r>
    </w:p>
    <w:tbl>
      <w:tblPr>
        <w:tblW w:w="10205" w:type="dxa"/>
        <w:jc w:val="left"/>
        <w:tblInd w:w="0" w:type="dxa"/>
        <w:tblLayout w:type="fixed"/>
        <w:tblCellMar>
          <w:top w:w="28" w:type="dxa"/>
          <w:left w:w="28" w:type="dxa"/>
          <w:bottom w:w="28" w:type="dxa"/>
          <w:right w:w="28" w:type="dxa"/>
        </w:tblCellMar>
      </w:tblPr>
      <w:tblGrid>
        <w:gridCol w:w="591"/>
        <w:gridCol w:w="325"/>
        <w:gridCol w:w="327"/>
        <w:gridCol w:w="314"/>
        <w:gridCol w:w="314"/>
        <w:gridCol w:w="315"/>
        <w:gridCol w:w="213"/>
        <w:gridCol w:w="986"/>
        <w:gridCol w:w="110"/>
        <w:gridCol w:w="221"/>
        <w:gridCol w:w="868"/>
        <w:gridCol w:w="115"/>
        <w:gridCol w:w="212"/>
        <w:gridCol w:w="983"/>
        <w:gridCol w:w="109"/>
        <w:gridCol w:w="109"/>
        <w:gridCol w:w="109"/>
        <w:gridCol w:w="109"/>
        <w:gridCol w:w="213"/>
        <w:gridCol w:w="986"/>
        <w:gridCol w:w="110"/>
        <w:gridCol w:w="221"/>
        <w:gridCol w:w="868"/>
        <w:gridCol w:w="115"/>
        <w:gridCol w:w="212"/>
        <w:gridCol w:w="983"/>
        <w:gridCol w:w="167"/>
      </w:tblGrid>
      <w:tr>
        <w:trPr/>
        <w:tc>
          <w:tcPr>
            <w:tcW w:w="59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2025</w:t>
            </w:r>
          </w:p>
        </w:tc>
      </w:tr>
      <w:tr>
        <w:trPr/>
        <w:tc>
          <w:tcPr>
            <w:tcW w:w="12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 except useful life)</w:t>
            </w:r>
          </w:p>
        </w:tc>
        <w:tc>
          <w:tcPr>
            <w:tcW w:w="9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Estimated Useful Life (years)</w:t>
            </w:r>
          </w:p>
        </w:tc>
        <w:tc>
          <w:tcPr>
            <w:tcW w:w="13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Carrying Amount</w:t>
            </w:r>
          </w:p>
        </w:tc>
        <w:tc>
          <w:tcPr>
            <w:tcW w:w="12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13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Carrying Amount</w:t>
            </w:r>
          </w:p>
        </w:tc>
        <w:tc>
          <w:tcPr>
            <w:tcW w:w="12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13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Carrying Amount</w:t>
            </w:r>
          </w:p>
        </w:tc>
      </w:tr>
      <w:tr>
        <w:trPr/>
        <w:tc>
          <w:tcPr>
            <w:tcW w:w="1243"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ABA business process</w:t>
            </w:r>
          </w:p>
        </w:tc>
        <w:tc>
          <w:tcPr>
            <w:tcW w:w="943"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21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1,583,000 </w:t>
            </w:r>
          </w:p>
        </w:tc>
        <w:tc>
          <w:tcPr>
            <w:tcW w:w="11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197,875 </w:t>
            </w:r>
          </w:p>
        </w:tc>
        <w:tc>
          <w:tcPr>
            <w:tcW w:w="11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1,385,125 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1,583,000 </w:t>
            </w:r>
          </w:p>
        </w:tc>
        <w:tc>
          <w:tcPr>
            <w:tcW w:w="11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153,903 </w:t>
            </w:r>
          </w:p>
        </w:tc>
        <w:tc>
          <w:tcPr>
            <w:tcW w:w="11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1,429,097 </w:t>
            </w:r>
          </w:p>
        </w:tc>
        <w:tc>
          <w:tcPr>
            <w:tcW w:w="16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Client relationships</w:t>
            </w:r>
          </w:p>
        </w:tc>
        <w:tc>
          <w:tcPr>
            <w:tcW w:w="9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 to 26</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279,824 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106,719 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280,065 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94,365 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185,700 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to 5</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347,389 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204,482 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260,154 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127,669 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132,485 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technology</w:t>
            </w:r>
          </w:p>
        </w:tc>
        <w:tc>
          <w:tcPr>
            <w:tcW w:w="9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to 12</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254,544 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148,319 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253,899 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131,731 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122,168 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Data content</w:t>
            </w:r>
          </w:p>
        </w:tc>
        <w:tc>
          <w:tcPr>
            <w:tcW w:w="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 to 20</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87,323 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49,317 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86,416 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44,490 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41,926 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9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 to 10</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4,919 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326 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4,593 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Non-compete agreements</w:t>
            </w:r>
          </w:p>
        </w:tc>
        <w:tc>
          <w:tcPr>
            <w:tcW w:w="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2,557,278 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707,768 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1,849,510 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2,468,743 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552,641 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1,916,102 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60"/>
        <w:jc w:val="both"/>
        <w:rPr>
          <w:rFonts w:ascii="Times New Roman;serif" w:hAnsi="Times New Roman;serif"/>
          <w:b w:val="false"/>
          <w:color w:val="000000"/>
          <w:sz w:val="20"/>
        </w:rPr>
      </w:pPr>
      <w:r>
        <w:rPr>
          <w:rFonts w:ascii="Times New Roman;serif" w:hAnsi="Times New Roman;serif"/>
          <w:b w:val="false"/>
          <w:color w:val="000000"/>
          <w:sz w:val="20"/>
        </w:rPr>
        <w:t>The weighted average useful life of our intangible assets as of August 31, 2026 was 30.5 years. We did not identify a material change to the estimated remaining useful lives of our intangible assets during fiscal 2026 and 2025. Our intangible assets have no assigned residual values.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amortization expense for our intangible assets which is included in Cost of services in our Consolidated Statements of Income:</w:t>
      </w:r>
    </w:p>
    <w:tbl>
      <w:tblPr>
        <w:tblW w:w="5388" w:type="dxa"/>
        <w:jc w:val="left"/>
        <w:tblInd w:w="0" w:type="dxa"/>
        <w:tblLayout w:type="fixed"/>
        <w:tblCellMar>
          <w:top w:w="28" w:type="dxa"/>
          <w:left w:w="28" w:type="dxa"/>
          <w:bottom w:w="28" w:type="dxa"/>
          <w:right w:w="28" w:type="dxa"/>
        </w:tblCellMar>
      </w:tblPr>
      <w:tblGrid>
        <w:gridCol w:w="690"/>
        <w:gridCol w:w="607"/>
        <w:gridCol w:w="608"/>
        <w:gridCol w:w="211"/>
        <w:gridCol w:w="826"/>
        <w:gridCol w:w="109"/>
        <w:gridCol w:w="211"/>
        <w:gridCol w:w="826"/>
        <w:gridCol w:w="109"/>
        <w:gridCol w:w="211"/>
        <w:gridCol w:w="826"/>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 ended August 31,</w:t>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(in thousands)</w:t>
            </w:r>
            <w:r>
              <w:rPr>
                <w:color w:val="000000"/>
              </w:rPr>
              <w:t xml:space="preserve"> </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19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104,950 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August 31, 2026, estimated intangible asset amortization expense for each of the next five years and thereafter is as follows:</w:t>
      </w:r>
    </w:p>
    <w:tbl>
      <w:tblPr>
        <w:tblW w:w="5414" w:type="dxa"/>
        <w:jc w:val="left"/>
        <w:tblInd w:w="0" w:type="dxa"/>
        <w:tblLayout w:type="fixed"/>
        <w:tblCellMar>
          <w:top w:w="28" w:type="dxa"/>
          <w:left w:w="28" w:type="dxa"/>
          <w:bottom w:w="28" w:type="dxa"/>
          <w:right w:w="28" w:type="dxa"/>
        </w:tblCellMar>
      </w:tblPr>
      <w:tblGrid>
        <w:gridCol w:w="939"/>
        <w:gridCol w:w="827"/>
        <w:gridCol w:w="829"/>
        <w:gridCol w:w="443"/>
        <w:gridCol w:w="2053"/>
        <w:gridCol w:w="323"/>
      </w:tblGrid>
      <w:tr>
        <w:trPr/>
        <w:tc>
          <w:tcPr>
            <w:tcW w:w="93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05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28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Estimated Amortization Expense</w:t>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Years Ended August 31,</w:t>
            </w:r>
          </w:p>
        </w:tc>
        <w:tc>
          <w:tcPr>
            <w:tcW w:w="281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4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141,291 </w:t>
            </w:r>
          </w:p>
        </w:tc>
        <w:tc>
          <w:tcPr>
            <w:tcW w:w="3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2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117,430 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2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91,678 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2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76,333 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2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72,119 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2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1,350,659 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4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5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1,849,510 </w:t>
            </w:r>
          </w:p>
        </w:tc>
        <w:tc>
          <w:tcPr>
            <w:tcW w:w="32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4"/>
        </w:rPr>
      </w:pPr>
      <w:r>
        <w:rPr>
          <w:rFonts w:ascii="Times New Roman;serif" w:hAnsi="Times New Roman;serif"/>
          <w:b/>
          <w:color w:val="000000"/>
          <w:sz w:val="24"/>
        </w:rPr>
        <w:t xml:space="preserve">8. INCOME TAXES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are subject to taxation in the U.S. and various state, local and foreign jurisdictions in which we conduct our business. Income tax expense is based on taxable income determined in accordance with current enacted laws and tax rates. Deferred income taxes are recorded for the temporary differences between the financial statement carrying amounts and the tax basis of our assets and liabilities using currently enacted tax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Provision for Income Taxes and Effective Tax Rate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components of Income before income taxes were as follows:</w:t>
      </w:r>
    </w:p>
    <w:tbl>
      <w:tblPr>
        <w:tblW w:w="5853" w:type="dxa"/>
        <w:jc w:val="left"/>
        <w:tblInd w:w="0" w:type="dxa"/>
        <w:tblLayout w:type="fixed"/>
        <w:tblCellMar>
          <w:top w:w="28" w:type="dxa"/>
          <w:left w:w="28" w:type="dxa"/>
          <w:bottom w:w="28" w:type="dxa"/>
          <w:right w:w="28" w:type="dxa"/>
        </w:tblCellMar>
      </w:tblPr>
      <w:tblGrid>
        <w:gridCol w:w="859"/>
        <w:gridCol w:w="755"/>
        <w:gridCol w:w="756"/>
        <w:gridCol w:w="211"/>
        <w:gridCol w:w="826"/>
        <w:gridCol w:w="109"/>
        <w:gridCol w:w="211"/>
        <w:gridCol w:w="826"/>
        <w:gridCol w:w="109"/>
        <w:gridCol w:w="211"/>
        <w:gridCol w:w="826"/>
        <w:gridCol w:w="154"/>
      </w:tblGrid>
      <w:tr>
        <w:trPr/>
        <w:tc>
          <w:tcPr>
            <w:tcW w:w="85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4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 ended August 31,</w:t>
            </w:r>
          </w:p>
        </w:tc>
      </w:tr>
      <w:tr>
        <w:trPr/>
        <w:tc>
          <w:tcPr>
            <w:tcW w:w="2370"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237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operations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400,450 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479,288 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416,093 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 operations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235,410 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Income before income taxes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649,716 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720,958 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651,503 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components of the provision for income taxes consist of the following:</w:t>
      </w:r>
    </w:p>
    <w:tbl>
      <w:tblPr>
        <w:tblW w:w="6242" w:type="dxa"/>
        <w:jc w:val="left"/>
        <w:tblInd w:w="0" w:type="dxa"/>
        <w:tblLayout w:type="fixed"/>
        <w:tblCellMar>
          <w:top w:w="28" w:type="dxa"/>
          <w:left w:w="28" w:type="dxa"/>
          <w:bottom w:w="28" w:type="dxa"/>
          <w:right w:w="28" w:type="dxa"/>
        </w:tblCellMar>
      </w:tblPr>
      <w:tblGrid>
        <w:gridCol w:w="1000"/>
        <w:gridCol w:w="878"/>
        <w:gridCol w:w="881"/>
        <w:gridCol w:w="211"/>
        <w:gridCol w:w="826"/>
        <w:gridCol w:w="109"/>
        <w:gridCol w:w="211"/>
        <w:gridCol w:w="826"/>
        <w:gridCol w:w="109"/>
        <w:gridCol w:w="211"/>
        <w:gridCol w:w="826"/>
        <w:gridCol w:w="154"/>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4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 ended August 31,</w:t>
            </w:r>
          </w:p>
        </w:tc>
      </w:tr>
      <w:tr>
        <w:trPr/>
        <w:tc>
          <w:tcPr>
            <w:tcW w:w="2759"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275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state and local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taxes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146,397 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state and local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(32,020)</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provision for income taxes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state and local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Provision for income taxes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116,235 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123,918 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114,377 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effective tax rate will vary based on, among other factors, changes in levels of foreign income, as well as other non-recurring events.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pPr>
      <w:r>
        <w:rPr>
          <w:rFonts w:ascii="Times New Roman;serif" w:hAnsi="Times New Roman;serif"/>
          <w:b w:val="false"/>
          <w:color w:val="000000"/>
          <w:sz w:val="20"/>
        </w:rPr>
        <w:t xml:space="preserve">We elected to adopt ASU 2023-09, </w:t>
      </w:r>
      <w:r>
        <w:rPr>
          <w:rFonts w:ascii="Times New Roman;serif" w:hAnsi="Times New Roman;serif"/>
          <w:b w:val="false"/>
          <w:i/>
          <w:color w:val="000000"/>
          <w:sz w:val="20"/>
        </w:rPr>
        <w:t>Income Taxes (Topic 740) - Improvements to Income Tax Disclosures,</w:t>
      </w:r>
      <w:r>
        <w:rPr>
          <w:color w:val="000000"/>
        </w:rPr>
        <w:t xml:space="preserve"> </w:t>
      </w:r>
      <w:r>
        <w:rPr>
          <w:rFonts w:ascii="Times New Roman;serif" w:hAnsi="Times New Roman;serif"/>
          <w:b w:val="false"/>
          <w:color w:val="000000"/>
          <w:sz w:val="20"/>
        </w:rPr>
        <w:t xml:space="preserve">on a prospective basis. Refer to Note 2, </w:t>
      </w:r>
      <w:r>
        <w:rPr>
          <w:rFonts w:ascii="Times New Roman;serif" w:hAnsi="Times New Roman;serif"/>
          <w:b w:val="false"/>
          <w:i/>
          <w:color w:val="000000"/>
          <w:sz w:val="20"/>
        </w:rPr>
        <w:t>Summary of Significant Accounting Policies - Recently Adopted Accounting Pronouncements</w:t>
      </w:r>
      <w:r>
        <w:rPr>
          <w:rFonts w:ascii="Times New Roman;serif" w:hAnsi="Times New Roman;serif"/>
          <w:b w:val="false"/>
          <w:color w:val="000000"/>
          <w:sz w:val="20"/>
        </w:rPr>
        <w:t>, for further information. For the year ended August 31, 2026, after the adoption of ASU 2023-09, the following table presents a reconciliation between the U.S. corporate income tax rate and our effective tax rate:</w:t>
      </w:r>
    </w:p>
    <w:tbl>
      <w:tblPr>
        <w:tblW w:w="8015" w:type="dxa"/>
        <w:jc w:val="left"/>
        <w:tblInd w:w="0" w:type="dxa"/>
        <w:tblLayout w:type="fixed"/>
        <w:tblCellMar>
          <w:top w:w="28" w:type="dxa"/>
          <w:left w:w="28" w:type="dxa"/>
          <w:bottom w:w="28" w:type="dxa"/>
          <w:right w:w="28" w:type="dxa"/>
        </w:tblCellMar>
      </w:tblPr>
      <w:tblGrid>
        <w:gridCol w:w="1824"/>
        <w:gridCol w:w="1606"/>
        <w:gridCol w:w="1610"/>
        <w:gridCol w:w="109"/>
        <w:gridCol w:w="109"/>
        <w:gridCol w:w="311"/>
        <w:gridCol w:w="1220"/>
        <w:gridCol w:w="161"/>
        <w:gridCol w:w="255"/>
        <w:gridCol w:w="256"/>
        <w:gridCol w:w="400"/>
        <w:gridCol w:w="154"/>
      </w:tblGrid>
      <w:tr>
        <w:trPr/>
        <w:tc>
          <w:tcPr>
            <w:tcW w:w="1824"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c>
          <w:tcPr>
            <w:tcW w:w="1065" w:type="dxa"/>
            <w:gridSpan w:val="4"/>
            <w:tcBorders/>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(expressed as a percentage of 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3"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Year ended August 31, 2026</w:t>
            </w:r>
          </w:p>
        </w:tc>
        <w:tc>
          <w:tcPr>
            <w:tcW w:w="154" w:type="dxa"/>
            <w:tcBorders/>
          </w:tcPr>
          <w:p>
            <w:pPr>
              <w:pStyle w:val="TableContents"/>
              <w:bidi w:val="0"/>
              <w:spacing w:before="0" w:after="283"/>
              <w:jc w:val="left"/>
              <w:rPr>
                <w:sz w:val="4"/>
                <w:szCs w:val="4"/>
              </w:rPr>
            </w:pPr>
            <w:r>
              <w:rPr>
                <w:sz w:val="4"/>
                <w:szCs w:val="4"/>
              </w:rPr>
            </w:r>
          </w:p>
        </w:tc>
      </w:tr>
      <w:tr>
        <w:trPr/>
        <w:tc>
          <w:tcPr>
            <w:tcW w:w="50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at U.S. federal statutory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136,440 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taxes resulting from: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State and local taxes, net of U.S. federal income tax benefit</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 ("UK")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tax differences between the UK and the 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 jurisdictions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cross-border tax laws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derived intangible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&amp; development ("R&amp;D") tax credit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credit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valuation allowances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unrecognized tax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Provision for income taxes and effective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116,235 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4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18"/>
        </w:rPr>
      </w:pPr>
      <w:r>
        <w:rPr>
          <w:rFonts w:ascii="Times New Roman;serif" w:hAnsi="Times New Roman;serif"/>
          <w:b w:val="false"/>
          <w:color w:val="000000"/>
          <w:sz w:val="18"/>
        </w:rPr>
        <w:t>(1) New York and New York City make up the majority (greater than 50%) of the tax effect in this category.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Prior to the adoption of ASU 2023-09, the following table presents a reconciliation between the U.S. corporate income tax rate and our effective tax rate:</w:t>
      </w:r>
    </w:p>
    <w:tbl>
      <w:tblPr>
        <w:tblW w:w="7543" w:type="dxa"/>
        <w:jc w:val="left"/>
        <w:tblInd w:w="0" w:type="dxa"/>
        <w:tblLayout w:type="fixed"/>
        <w:tblCellMar>
          <w:top w:w="28" w:type="dxa"/>
          <w:left w:w="28" w:type="dxa"/>
          <w:bottom w:w="28" w:type="dxa"/>
          <w:right w:w="28" w:type="dxa"/>
        </w:tblCellMar>
      </w:tblPr>
      <w:tblGrid>
        <w:gridCol w:w="1764"/>
        <w:gridCol w:w="1553"/>
        <w:gridCol w:w="1557"/>
        <w:gridCol w:w="109"/>
        <w:gridCol w:w="109"/>
        <w:gridCol w:w="292"/>
        <w:gridCol w:w="219"/>
        <w:gridCol w:w="424"/>
        <w:gridCol w:w="170"/>
        <w:gridCol w:w="170"/>
        <w:gridCol w:w="170"/>
        <w:gridCol w:w="292"/>
        <w:gridCol w:w="219"/>
        <w:gridCol w:w="495"/>
      </w:tblGrid>
      <w:tr>
        <w:trPr/>
        <w:tc>
          <w:tcPr>
            <w:tcW w:w="1764"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Years ended August 31, </w:t>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(expressed as a percentage of 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48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at U.S. Federal statutory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Increase (decrease) in taxes resulting from: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taxes, net of U.S. federal income tax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income at other than U.S. rates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derived intangible income ("FDII") tax deduction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benefits from R&amp;D tax credits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payments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impact of foreign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Uncertain tax positions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Effective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42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49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Deferred Tax Assets and Liabilities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We recognize deferred income taxes to reflect the temporary differences between the financial statement carrying amounts of assets and liabilities and their corresponding tax basis. The tax effects of these differences are as follows:</w:t>
      </w:r>
    </w:p>
    <w:tbl>
      <w:tblPr>
        <w:tblW w:w="7437" w:type="dxa"/>
        <w:jc w:val="left"/>
        <w:tblInd w:w="0" w:type="dxa"/>
        <w:tblLayout w:type="fixed"/>
        <w:tblCellMar>
          <w:top w:w="28" w:type="dxa"/>
          <w:left w:w="28" w:type="dxa"/>
          <w:bottom w:w="28" w:type="dxa"/>
          <w:right w:w="28" w:type="dxa"/>
        </w:tblCellMar>
      </w:tblPr>
      <w:tblGrid>
        <w:gridCol w:w="1794"/>
        <w:gridCol w:w="1577"/>
        <w:gridCol w:w="1579"/>
        <w:gridCol w:w="211"/>
        <w:gridCol w:w="901"/>
        <w:gridCol w:w="109"/>
        <w:gridCol w:w="211"/>
        <w:gridCol w:w="901"/>
        <w:gridCol w:w="154"/>
      </w:tblGrid>
      <w:tr>
        <w:trPr/>
        <w:tc>
          <w:tcPr>
            <w:tcW w:w="1794"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248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As of August 31, </w:t>
            </w:r>
          </w:p>
        </w:tc>
      </w:tr>
      <w:tr>
        <w:trPr/>
        <w:tc>
          <w:tcPr>
            <w:tcW w:w="4950" w:type="dxa"/>
            <w:gridSpan w:val="3"/>
            <w:vMerge w:val="continue"/>
            <w:tcBorders/>
            <w:tcMar>
              <w:top w:w="0" w:type="dxa"/>
              <w:left w:w="0" w:type="dxa"/>
              <w:bottom w:w="0" w:type="dxa"/>
              <w:right w:w="0" w:type="dxa"/>
            </w:tcMar>
            <w:vAlign w:val="center"/>
          </w:tcPr>
          <w:p>
            <w:pPr>
              <w:pStyle w:val="Normal"/>
              <w:bidi w:val="0"/>
              <w:jc w:val="left"/>
              <w:rPr/>
            </w:pPr>
            <w:r>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9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Capitalization of R&amp;D costs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NOL carryforward</w:t>
            </w:r>
            <w:r>
              <w:rPr>
                <w:rFonts w:ascii="Times New Roman;serif" w:hAnsi="Times New Roman;serif"/>
                <w:b w:val="false"/>
                <w:color w:val="000000"/>
                <w:sz w:val="13"/>
              </w:rPr>
              <w:t>(1)</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Foreign tax credit carryforward</w:t>
            </w:r>
            <w:r>
              <w:rPr>
                <w:rFonts w:ascii="Times New Roman;serif" w:hAnsi="Times New Roman;serif"/>
                <w:b w:val="false"/>
                <w:color w:val="000000"/>
                <w:sz w:val="13"/>
              </w:rPr>
              <w:t>(1)</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(1)</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Total deferred tax assets</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343,415 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255,649 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on PPE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intangible assets, including acquired technology</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ROU assets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subsidiary</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481(a) adjustment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Total deferred tax liabilities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(273,699)</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(206,575)</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(liabilities), net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49,074 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 (liabilities), net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63,271 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46,324 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(1) Net operating loss carryforward and Foreign tax credit carryforward were presented separately from Other as part of the deferred tax assets in fiscal 2026. Comparative figures for fiscal 2025 have been conformed.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Total deferred tax assets and liabilities recorded within the Consolidated Balance Sheets were as follows:</w:t>
      </w:r>
    </w:p>
    <w:tbl>
      <w:tblPr>
        <w:tblW w:w="5486" w:type="dxa"/>
        <w:jc w:val="left"/>
        <w:tblInd w:w="0" w:type="dxa"/>
        <w:tblLayout w:type="fixed"/>
        <w:tblCellMar>
          <w:top w:w="28" w:type="dxa"/>
          <w:left w:w="28" w:type="dxa"/>
          <w:bottom w:w="28" w:type="dxa"/>
          <w:right w:w="28" w:type="dxa"/>
        </w:tblCellMar>
      </w:tblPr>
      <w:tblGrid>
        <w:gridCol w:w="1215"/>
        <w:gridCol w:w="1071"/>
        <w:gridCol w:w="1073"/>
        <w:gridCol w:w="211"/>
        <w:gridCol w:w="721"/>
        <w:gridCol w:w="109"/>
        <w:gridCol w:w="211"/>
        <w:gridCol w:w="721"/>
        <w:gridCol w:w="154"/>
      </w:tblGrid>
      <w:tr>
        <w:trPr/>
        <w:tc>
          <w:tcPr>
            <w:tcW w:w="1215"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212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As of August 31, </w:t>
            </w:r>
          </w:p>
        </w:tc>
      </w:tr>
      <w:tr>
        <w:trPr/>
        <w:tc>
          <w:tcPr>
            <w:tcW w:w="3359"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3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61,226 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 (liabilities), net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63,271 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46,324 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August 31, 2026, our pre-tax foreign, federal and state NOLs were approximately $97.9 million, $15.4 million and $9.9 million, respectively. These carryforwards may be used to offset future taxable income. Our foreign NOLs begin to expire on August 31, 2034. Our federal NOLs have various expiration dates, beginning August 31, 2037, with some federal NOLs having an unlimited carryforward. Our state NOLs have various expiration dates, beginning August 31, 2029. Utilization of the NOLs may be subject to an annual limitation due to the ownership limitations provided by the Internal Revenue Code of 1986, as amended (the "Code"), and similar state provisions. Any annual limitation may result in the expiration of NOLs before utilization.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August 31, 2026, our foreign tax credit carryforwards were $22.5 million, with various expiration dates beginning August 31, 2030.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record valuation allowances against deferred income tax assets when we determine that it is more likely than not that such deferred income tax assets will not be realized based upon all the available evidence. The Company had valuation allowances of $6.4 million and $2.8 million at August 31, 2026 and 2025, respectively, related to foreign net operating losses and foreign tax credit carryforwards.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Unrecognized Tax Benefits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determination of liabilities related to uncertain tax positions, and associated interest and penalties, requires significant estimates and assumptions; as such, there can be no assurance that we will accurately predict the outcomes of these audits. We have no reason to believe that such audits will result in the payment of additional taxes and/or penalties that would have a material adverse effect on our results of operations or financial position, beyond current estimates.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the balance of gross unrecognized tax benefits:</w:t>
      </w:r>
    </w:p>
    <w:tbl>
      <w:tblPr>
        <w:tblW w:w="5990" w:type="dxa"/>
        <w:jc w:val="left"/>
        <w:tblInd w:w="0" w:type="dxa"/>
        <w:tblLayout w:type="fixed"/>
        <w:tblCellMar>
          <w:top w:w="28" w:type="dxa"/>
          <w:left w:w="28" w:type="dxa"/>
          <w:bottom w:w="28" w:type="dxa"/>
          <w:right w:w="28" w:type="dxa"/>
        </w:tblCellMar>
      </w:tblPr>
      <w:tblGrid>
        <w:gridCol w:w="1775"/>
        <w:gridCol w:w="1563"/>
        <w:gridCol w:w="1566"/>
        <w:gridCol w:w="211"/>
        <w:gridCol w:w="721"/>
        <w:gridCol w:w="154"/>
      </w:tblGrid>
      <w:tr>
        <w:trPr/>
        <w:tc>
          <w:tcPr>
            <w:tcW w:w="1775"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Unrecognized tax benefits as of August 31, 2023</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21,053 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based on tax positions related to the current year</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6,068</w:t>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Additions for tax positions related to prior years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 for tax positions of prior years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Unrecognized tax benefits as of August 31, 2024</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35,290 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based on tax positions related to the current year</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Additions for tax positions related to prior years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 for tax positions of prior years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Unrecognized tax benefits as of August 31, 2025</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39,434 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based on tax positions related to the current year</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for tax positions related to prior years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 for tax positions of prior years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op w:val="single" w:sz="4" w:space="0" w:color="494949"/>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Unrecognized tax benefits as of August 31, 2026</w:t>
            </w:r>
          </w:p>
        </w:tc>
        <w:tc>
          <w:tcPr>
            <w:tcW w:w="211" w:type="dxa"/>
            <w:tcBorders>
              <w:top w:val="single" w:sz="4" w:space="0" w:color="494949"/>
              <w:bottom w:val="double" w:sz="8" w:space="0" w:color="494949"/>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494949"/>
              <w:bottom w:val="double" w:sz="8" w:space="0" w:color="494949"/>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21,253 </w:t>
            </w:r>
          </w:p>
        </w:tc>
        <w:tc>
          <w:tcPr>
            <w:tcW w:w="154" w:type="dxa"/>
            <w:tcBorders>
              <w:top w:val="single" w:sz="4" w:space="0" w:color="494949"/>
              <w:bottom w:val="double" w:sz="8" w:space="0" w:color="494949"/>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recognize accrued interest related to unrecognized tax benefits in our Provision for income taxes in the Consolidated Statements of Income. Our accrued interest related to unrecognized tax benefits was $4.2 million, $5.7 million and $3.9 million as of August 31, 2026, 2025 and 2024, respectively. As of fiscal 2026, 2025 and 2024, there were $23.2 million, $38.5 million and $29.1 million of unrecognized tax benefits that, if recognized, would affect the annual effective tax rate.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After the adoption of ASU 2023-09, the following table summarizes our cash paid for income taxes, net of refunds, for the year ended August 31, 2026:</w:t>
      </w:r>
    </w:p>
    <w:tbl>
      <w:tblPr>
        <w:tblW w:w="6017" w:type="dxa"/>
        <w:jc w:val="left"/>
        <w:tblInd w:w="0" w:type="dxa"/>
        <w:tblLayout w:type="fixed"/>
        <w:tblCellMar>
          <w:top w:w="28" w:type="dxa"/>
          <w:left w:w="28" w:type="dxa"/>
          <w:bottom w:w="28" w:type="dxa"/>
          <w:right w:w="28" w:type="dxa"/>
        </w:tblCellMar>
      </w:tblPr>
      <w:tblGrid>
        <w:gridCol w:w="1427"/>
        <w:gridCol w:w="1257"/>
        <w:gridCol w:w="1260"/>
        <w:gridCol w:w="353"/>
        <w:gridCol w:w="1384"/>
        <w:gridCol w:w="182"/>
        <w:gridCol w:w="154"/>
      </w:tblGrid>
      <w:tr>
        <w:trPr/>
        <w:tc>
          <w:tcPr>
            <w:tcW w:w="1427"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9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As of August 31, 2026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3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20,816 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state and local:</w:t>
            </w:r>
          </w:p>
        </w:tc>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 City</w:t>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U.S. state and local</w:t>
            </w:r>
          </w:p>
        </w:tc>
        <w:tc>
          <w:tcPr>
            <w:tcW w:w="1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U.S. state and local</w:t>
            </w:r>
          </w:p>
        </w:tc>
        <w:tc>
          <w:tcPr>
            <w:tcW w:w="3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31,680 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w:t>
            </w:r>
          </w:p>
        </w:tc>
        <w:tc>
          <w:tcPr>
            <w:tcW w:w="1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56,399 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Non-U.S.</w:t>
            </w:r>
          </w:p>
        </w:tc>
        <w:tc>
          <w:tcPr>
            <w:tcW w:w="1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Non-U.S.</w:t>
            </w:r>
          </w:p>
        </w:tc>
        <w:tc>
          <w:tcPr>
            <w:tcW w:w="3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70,235 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cash paid for income taxes, net of refunds</w:t>
            </w:r>
          </w:p>
        </w:tc>
        <w:tc>
          <w:tcPr>
            <w:tcW w:w="3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122,731 </w:t>
            </w:r>
          </w:p>
        </w:tc>
        <w:tc>
          <w:tcPr>
            <w:tcW w:w="1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Cash paid for income taxes, net of refunds, during the years ended August 31, 2025 and 2024 was $103.2 million and $157.0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our tax filings are subject to audit by federal, state and foreign tax authorities. As of August 31, 2026, we remained subject to examination in the following significant tax jurisdictions for the fiscal years as indicated below:</w:t>
      </w:r>
    </w:p>
    <w:tbl>
      <w:tblPr>
        <w:tblW w:w="4471" w:type="dxa"/>
        <w:jc w:val="left"/>
        <w:tblInd w:w="0" w:type="dxa"/>
        <w:tblLayout w:type="fixed"/>
        <w:tblCellMar>
          <w:top w:w="28" w:type="dxa"/>
          <w:left w:w="28" w:type="dxa"/>
          <w:bottom w:w="28" w:type="dxa"/>
          <w:right w:w="28" w:type="dxa"/>
        </w:tblCellMar>
      </w:tblPr>
      <w:tblGrid>
        <w:gridCol w:w="863"/>
        <w:gridCol w:w="759"/>
        <w:gridCol w:w="763"/>
        <w:gridCol w:w="208"/>
        <w:gridCol w:w="208"/>
        <w:gridCol w:w="208"/>
        <w:gridCol w:w="250"/>
        <w:gridCol w:w="250"/>
        <w:gridCol w:w="251"/>
        <w:gridCol w:w="208"/>
        <w:gridCol w:w="208"/>
        <w:gridCol w:w="295"/>
      </w:tblGrid>
      <w:tr>
        <w:trPr/>
        <w:tc>
          <w:tcPr>
            <w:tcW w:w="86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Significant Tax Jurisdiction</w:t>
            </w:r>
          </w:p>
        </w:tc>
        <w:tc>
          <w:tcPr>
            <w:tcW w:w="20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Open Tax Fiscal Years</w:t>
            </w:r>
          </w:p>
        </w:tc>
      </w:tr>
      <w:tr>
        <w:trPr/>
        <w:tc>
          <w:tcPr>
            <w:tcW w:w="238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62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through</w:t>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(various)</w:t>
            </w:r>
          </w:p>
        </w:tc>
        <w:tc>
          <w:tcPr>
            <w:tcW w:w="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2019</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through</w:t>
            </w:r>
          </w:p>
        </w:tc>
        <w:tc>
          <w:tcPr>
            <w:tcW w:w="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Non-U.S.</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2021</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through</w:t>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through</w:t>
            </w:r>
          </w:p>
        </w:tc>
        <w:tc>
          <w:tcPr>
            <w:tcW w:w="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bl>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Undistributed Foreign Earnings</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We consider a portion of the unremitted earnings of our foreign subsidiaries and outside basis differences not related to those earnings to be permanently reinvested, where applicable. These unremitted earnings and outside basis differences could give rise to tax liabilities if ever remitted or if a foreign subsidiary was sold. As of August 31, 2026, it is not practicable to determine the deferred tax liability associated with such earnings or basis differences. In addition, we have not provided for deferred taxes on any outside basis differences of our domestic subsidiaries as we have the ability and intent to recover these basis differences in a tax-free manner.</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Base Erosion and Profit Shifting Pillar Two</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The Organization for Economic Co-operation and Development released Base Erosion and Profit Shifting Pillar Two rules (“Pillar Two”) to introduce a global minimum corporate tax of 15% for companies with global revenues and profits above certain thresholds. Although the U.S. has not yet enacted legislation to adopt Pillar Two, certain countries in which we operate have already adopted, or are in the process of adopting, legislation to implement Pillar Two. We have determined that Pillar Two would not have a material impact on our Consolidated Financial Statements, related disclosures, or effective tax rate. As the Pillar Two rules continue to evolve, their application may alter our tax obligations in certain countries in which we operate. We will continue to monitor developments and assess the potential impact of this tax legislation as further guidance becomes available.</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One Big Beautiful Bill Act</w:t>
      </w:r>
    </w:p>
    <w:p>
      <w:pPr>
        <w:pStyle w:val="TextBody"/>
        <w:bidi w:val="0"/>
        <w:spacing w:lineRule="auto" w:line="288" w:before="60" w:after="283"/>
        <w:jc w:val="both"/>
        <w:rPr/>
      </w:pPr>
      <w:r>
        <w:rPr>
          <w:rFonts w:ascii="Times New Roman;serif" w:hAnsi="Times New Roman;serif"/>
          <w:b w:val="false"/>
          <w:color w:val="000000"/>
          <w:sz w:val="20"/>
        </w:rPr>
        <w:t xml:space="preserve">On July 4, 2025, the One Big Beautiful Bill Act (the "Act") was signed into law. The legislation includes a broad range of tax reform provisions affecting businesses including, but not limited to, 100% bonus depreciation, expensing of U.S.-based R&amp;D costs, and changes to the U.S. taxation of profits derived from international operations. The legislation has multiple effective dates, with certain provisions effective in fiscal year 2025 and others implemented through fiscal year 2027. The Act did not have a material impact on the Company results of operations and financial position as of and for the fiscal year ended </w:t>
      </w:r>
      <w:r>
        <w:rPr>
          <w:rFonts w:ascii="Times New Roman;serif" w:hAnsi="Times New Roman;serif"/>
          <w:b w:val="false"/>
          <w:color w:val="212529"/>
          <w:sz w:val="20"/>
        </w:rPr>
        <w:t>August 31, 2026</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4"/>
        </w:rPr>
      </w:pPr>
      <w:r>
        <w:rPr>
          <w:rFonts w:ascii="Times New Roman;serif" w:hAnsi="Times New Roman;serif"/>
          <w:b/>
          <w:color w:val="000000"/>
          <w:sz w:val="24"/>
        </w:rPr>
        <w:t>9. LEASES</w:t>
      </w:r>
    </w:p>
    <w:p>
      <w:pPr>
        <w:pStyle w:val="TextBody"/>
        <w:bidi w:val="0"/>
        <w:spacing w:lineRule="auto" w:line="288" w:before="200" w:after="283"/>
        <w:jc w:val="both"/>
        <w:rPr/>
      </w:pPr>
      <w:r>
        <w:rPr>
          <w:rFonts w:ascii="Times New Roman;serif" w:hAnsi="Times New Roman;serif"/>
          <w:b w:val="false"/>
          <w:color w:val="212529"/>
          <w:sz w:val="20"/>
        </w:rPr>
        <w:t xml:space="preserve">Our operating lease arrangements relate to our office space and data centers. </w:t>
      </w:r>
      <w:r>
        <w:rPr>
          <w:rFonts w:ascii="Times New Roman;serif" w:hAnsi="Times New Roman;serif"/>
          <w:b w:val="false"/>
          <w:color w:val="000000"/>
          <w:sz w:val="20"/>
        </w:rPr>
        <w:t xml:space="preserve">We review new arrangements at inception to evaluate whether we obtain substantially all the economic benefits of and have the right to control the use of an asset. </w:t>
      </w:r>
      <w:r>
        <w:rPr>
          <w:rFonts w:ascii="Times New Roman;serif" w:hAnsi="Times New Roman;serif"/>
          <w:b w:val="false"/>
          <w:color w:val="212529"/>
          <w:sz w:val="20"/>
        </w:rPr>
        <w:t xml:space="preserve">Our </w:t>
      </w:r>
      <w:r>
        <w:rPr>
          <w:rFonts w:ascii="Times New Roman;serif" w:hAnsi="Times New Roman;serif"/>
          <w:b w:val="false"/>
          <w:color w:val="000000"/>
          <w:sz w:val="20"/>
        </w:rPr>
        <w:t xml:space="preserve">lease ROU assets and lease liabilities are recognized based on </w:t>
      </w:r>
      <w:r>
        <w:rPr>
          <w:rFonts w:ascii="Times New Roman;serif" w:hAnsi="Times New Roman;serif"/>
          <w:b w:val="false"/>
          <w:color w:val="212529"/>
          <w:sz w:val="20"/>
        </w:rPr>
        <w:t xml:space="preserve">the present value of future minimum lease payments at lease commencement or modification date (which includes fixed lease payments and certain qualifying index-based variable payments) </w:t>
      </w:r>
      <w:r>
        <w:rPr>
          <w:rFonts w:ascii="Times New Roman;serif" w:hAnsi="Times New Roman;serif"/>
          <w:b w:val="false"/>
          <w:color w:val="000000"/>
          <w:sz w:val="20"/>
        </w:rPr>
        <w:t xml:space="preserve">over the reasonably certain lease term, leveraging </w:t>
      </w:r>
      <w:r>
        <w:rPr>
          <w:rFonts w:ascii="Times New Roman;serif" w:hAnsi="Times New Roman;serif"/>
          <w:b w:val="false"/>
          <w:color w:val="212529"/>
          <w:sz w:val="20"/>
        </w:rPr>
        <w:t xml:space="preserve">an estimated IBR. The initial carrying value of </w:t>
      </w:r>
      <w:r>
        <w:rPr>
          <w:rFonts w:ascii="Times New Roman;serif" w:hAnsi="Times New Roman;serif"/>
          <w:b w:val="false"/>
          <w:color w:val="000000"/>
          <w:sz w:val="20"/>
        </w:rPr>
        <w:t xml:space="preserve">our lease ROU assets may also be adjusted due to prepayments, lease incentives received and initial direct costs incurred. We account for lease and non-lease components as a single lease component, which we recognize over the expected lease term on a straight-line expense basis in occupancy costs (a component of SG&amp;A expense) in our Consolidated Statements of Income. </w:t>
      </w:r>
    </w:p>
    <w:p>
      <w:pPr>
        <w:pStyle w:val="TextBody"/>
        <w:bidi w:val="0"/>
        <w:spacing w:lineRule="auto" w:line="288" w:before="200" w:after="283"/>
        <w:jc w:val="both"/>
        <w:rPr/>
      </w:pPr>
      <w:r>
        <w:rPr>
          <w:rFonts w:ascii="Times New Roman;serif" w:hAnsi="Times New Roman;serif"/>
          <w:b w:val="false"/>
          <w:color w:val="212529"/>
          <w:sz w:val="20"/>
        </w:rPr>
        <w:t>As of August 31, 2026</w:t>
      </w:r>
      <w:r>
        <w:rPr>
          <w:rFonts w:ascii="Times New Roman;serif" w:hAnsi="Times New Roman;serif"/>
          <w:b w:val="false"/>
          <w:color w:val="000000"/>
          <w:sz w:val="20"/>
        </w:rPr>
        <w:t xml:space="preserve">, we recognized $113.3 million of Lease ROU assets, net and $172.4 million of combined Current lease liabilities and Long-term lease liabilities in the Consolidated Balance Sheets. Our leases </w:t>
      </w:r>
      <w:r>
        <w:rPr>
          <w:rFonts w:ascii="Times New Roman;serif" w:hAnsi="Times New Roman;serif"/>
          <w:b w:val="false"/>
          <w:color w:val="212529"/>
          <w:sz w:val="20"/>
        </w:rPr>
        <w:t xml:space="preserve">have remaining lease terms ranging from less than one year to </w:t>
      </w:r>
      <w:r>
        <w:rPr>
          <w:rFonts w:ascii="Times New Roman;serif" w:hAnsi="Times New Roman;serif"/>
          <w:b w:val="false"/>
          <w:color w:val="000000"/>
          <w:sz w:val="20"/>
        </w:rPr>
        <w:t>just under</w:t>
      </w:r>
      <w:r>
        <w:rPr>
          <w:color w:val="212529"/>
        </w:rPr>
        <w:t xml:space="preserve"> </w:t>
      </w:r>
      <w:r>
        <w:rPr>
          <w:rFonts w:ascii="Times New Roman;serif" w:hAnsi="Times New Roman;serif"/>
          <w:b w:val="false"/>
          <w:color w:val="212529"/>
          <w:sz w:val="20"/>
        </w:rPr>
        <w:t xml:space="preserve">10 years. Our lease agreements may </w:t>
      </w:r>
      <w:r>
        <w:rPr>
          <w:rFonts w:ascii="Times New Roman;serif" w:hAnsi="Times New Roman;serif"/>
          <w:b w:val="false"/>
          <w:color w:val="000000"/>
          <w:sz w:val="20"/>
        </w:rPr>
        <w:t>include options to extend or terminate the lease, which would be included in the measurement of our lease term if it is reasonably certain that we will exercise the option.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pPr>
      <w:r>
        <w:rPr>
          <w:rFonts w:ascii="Times New Roman;serif" w:hAnsi="Times New Roman;serif"/>
          <w:b w:val="false"/>
          <w:color w:val="212529"/>
          <w:sz w:val="20"/>
        </w:rPr>
        <w:t xml:space="preserve">The following table presents our future minimum lease payments and a reconciliation to the combined </w:t>
      </w:r>
      <w:r>
        <w:rPr>
          <w:rFonts w:ascii="Times New Roman;serif" w:hAnsi="Times New Roman;serif"/>
          <w:b w:val="false"/>
          <w:color w:val="000000"/>
          <w:sz w:val="20"/>
        </w:rPr>
        <w:t xml:space="preserve">Current lease liabilities and Long-term lease liabilities in the Consolidated Balance Sheets </w:t>
      </w:r>
      <w:r>
        <w:rPr>
          <w:rFonts w:ascii="Times New Roman;serif" w:hAnsi="Times New Roman;serif"/>
          <w:b w:val="false"/>
          <w:color w:val="212529"/>
          <w:sz w:val="20"/>
        </w:rPr>
        <w:t xml:space="preserve">as of August 31, 2026: </w:t>
      </w:r>
    </w:p>
    <w:tbl>
      <w:tblPr>
        <w:tblW w:w="4125" w:type="dxa"/>
        <w:jc w:val="left"/>
        <w:tblInd w:w="0" w:type="dxa"/>
        <w:tblLayout w:type="fixed"/>
        <w:tblCellMar>
          <w:top w:w="28" w:type="dxa"/>
          <w:left w:w="28" w:type="dxa"/>
          <w:bottom w:w="28" w:type="dxa"/>
          <w:right w:w="28" w:type="dxa"/>
        </w:tblCellMar>
      </w:tblPr>
      <w:tblGrid>
        <w:gridCol w:w="961"/>
        <w:gridCol w:w="846"/>
        <w:gridCol w:w="848"/>
        <w:gridCol w:w="260"/>
        <w:gridCol w:w="1020"/>
        <w:gridCol w:w="190"/>
      </w:tblGrid>
      <w:tr>
        <w:trPr/>
        <w:tc>
          <w:tcPr>
            <w:tcW w:w="961"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(in thousands) </w:t>
            </w:r>
          </w:p>
        </w:tc>
        <w:tc>
          <w:tcPr>
            <w:tcW w:w="1470"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Minimum Lease</w:t>
              <w:br/>
              <w:t>Payments</w:t>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Years Ended August 31,</w:t>
            </w:r>
          </w:p>
        </w:tc>
        <w:tc>
          <w:tcPr>
            <w:tcW w:w="147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26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41,602 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37,538 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39,091 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minimum lease payments</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198,493 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172,392 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includes components of our occupancy costs:</w:t>
      </w:r>
    </w:p>
    <w:tbl>
      <w:tblPr>
        <w:tblW w:w="5162" w:type="dxa"/>
        <w:jc w:val="left"/>
        <w:tblInd w:w="0" w:type="dxa"/>
        <w:tblLayout w:type="fixed"/>
        <w:tblCellMar>
          <w:top w:w="28" w:type="dxa"/>
          <w:left w:w="28" w:type="dxa"/>
          <w:bottom w:w="28" w:type="dxa"/>
          <w:right w:w="28" w:type="dxa"/>
        </w:tblCellMar>
      </w:tblPr>
      <w:tblGrid>
        <w:gridCol w:w="722"/>
        <w:gridCol w:w="635"/>
        <w:gridCol w:w="637"/>
        <w:gridCol w:w="211"/>
        <w:gridCol w:w="721"/>
        <w:gridCol w:w="109"/>
        <w:gridCol w:w="211"/>
        <w:gridCol w:w="721"/>
        <w:gridCol w:w="109"/>
        <w:gridCol w:w="211"/>
        <w:gridCol w:w="721"/>
        <w:gridCol w:w="154"/>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 ended August 31,</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(in thousands)</w:t>
            </w:r>
            <w:r>
              <w:rPr>
                <w:color w:val="000000"/>
              </w:rPr>
              <w:t xml:space="preserve"> </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199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lease costs</w:t>
            </w:r>
            <w:r>
              <w:rPr>
                <w:rFonts w:ascii="Times New Roman;serif" w:hAnsi="Times New Roman;serif"/>
                <w:b w:val="false"/>
                <w:color w:val="000000"/>
                <w:sz w:val="13"/>
              </w:rPr>
              <w:t>(1)</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30,982 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30,407 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Variable lease costs</w:t>
            </w:r>
            <w:r>
              <w:rPr>
                <w:rFonts w:ascii="Times New Roman;serif" w:hAnsi="Times New Roman;serif"/>
                <w:b w:val="false"/>
                <w:color w:val="000000"/>
                <w:sz w:val="13"/>
              </w:rPr>
              <w:t>(2)</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270"/>
        <w:jc w:val="both"/>
        <w:rPr/>
      </w:pPr>
      <w:r>
        <w:rPr>
          <w:rFonts w:ascii="Times New Roman;serif" w:hAnsi="Times New Roman;serif"/>
          <w:b w:val="false"/>
          <w:color w:val="000000"/>
          <w:sz w:val="18"/>
        </w:rPr>
        <w:t xml:space="preserve">(1) Operating lease costs include costs associated with fixed lease payments and index-based variable payments that qualified for lease accounting under ASC 842, </w:t>
      </w:r>
      <w:r>
        <w:rPr>
          <w:rFonts w:ascii="Times New Roman;serif" w:hAnsi="Times New Roman;serif"/>
          <w:b w:val="false"/>
          <w:i/>
          <w:color w:val="000000"/>
          <w:sz w:val="18"/>
        </w:rPr>
        <w:t>Leases</w:t>
      </w:r>
      <w:r>
        <w:rPr>
          <w:color w:val="000000"/>
        </w:rPr>
        <w:t xml:space="preserve"> </w:t>
      </w:r>
      <w:r>
        <w:rPr>
          <w:rFonts w:ascii="Times New Roman;serif" w:hAnsi="Times New Roman;serif"/>
          <w:b w:val="false"/>
          <w:color w:val="000000"/>
          <w:sz w:val="18"/>
        </w:rPr>
        <w:t>and complied with the practical expedients and exceptions we elected.</w:t>
      </w:r>
    </w:p>
    <w:p>
      <w:pPr>
        <w:pStyle w:val="TextBody"/>
        <w:bidi w:val="0"/>
        <w:spacing w:lineRule="auto" w:line="288" w:before="80" w:after="283"/>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 xml:space="preserve">(2) Variable lease costs include costs that are not fixed and are not dependent on an index or rate. These costs were not included in the measurement of lease liabilities and primarily include variable non-lease costs, such as utilities, real estate taxes, insurance and maintenance, as well as lease costs for those leases that qualified for the short-term lease exception.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weighted average remaining lease term and weighted average discount rate related to our operating leases recorded on the Consolidated Balance Sheets:</w:t>
      </w:r>
    </w:p>
    <w:tbl>
      <w:tblPr>
        <w:tblW w:w="5822" w:type="dxa"/>
        <w:jc w:val="left"/>
        <w:tblInd w:w="0" w:type="dxa"/>
        <w:tblLayout w:type="fixed"/>
        <w:tblCellMar>
          <w:top w:w="28" w:type="dxa"/>
          <w:left w:w="28" w:type="dxa"/>
          <w:bottom w:w="28" w:type="dxa"/>
          <w:right w:w="28" w:type="dxa"/>
        </w:tblCellMar>
      </w:tblPr>
      <w:tblGrid>
        <w:gridCol w:w="1491"/>
        <w:gridCol w:w="1312"/>
        <w:gridCol w:w="1321"/>
        <w:gridCol w:w="232"/>
        <w:gridCol w:w="174"/>
        <w:gridCol w:w="409"/>
        <w:gridCol w:w="232"/>
        <w:gridCol w:w="174"/>
        <w:gridCol w:w="477"/>
      </w:tblGrid>
      <w:tr>
        <w:trPr/>
        <w:tc>
          <w:tcPr>
            <w:tcW w:w="1491"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As of August 31, </w:t>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12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Weighted average remaining lease term </w:t>
            </w:r>
            <w:r>
              <w:rPr>
                <w:rFonts w:ascii="Times New Roman;serif" w:hAnsi="Times New Roman;serif"/>
                <w:b w:val="false"/>
                <w:i/>
                <w:color w:val="000000"/>
                <w:sz w:val="20"/>
              </w:rPr>
              <w:t>(in years)</w:t>
            </w:r>
          </w:p>
        </w:tc>
        <w:tc>
          <w:tcPr>
            <w:tcW w:w="81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883"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Weighted average discount rate</w:t>
            </w:r>
            <w:r>
              <w:rPr>
                <w:color w:val="000000"/>
              </w:rPr>
              <w:t xml:space="preserve"> </w:t>
            </w:r>
            <w:r>
              <w:rPr>
                <w:rFonts w:ascii="Times New Roman;serif" w:hAnsi="Times New Roman;serif"/>
                <w:b w:val="false"/>
                <w:i/>
                <w:color w:val="000000"/>
                <w:sz w:val="20"/>
              </w:rPr>
              <w:t>(IBR)</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3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supplemental cash flow information related to our operating leases:</w:t>
      </w:r>
    </w:p>
    <w:tbl>
      <w:tblPr>
        <w:tblW w:w="9123" w:type="dxa"/>
        <w:jc w:val="left"/>
        <w:tblInd w:w="0" w:type="dxa"/>
        <w:tblLayout w:type="fixed"/>
        <w:tblCellMar>
          <w:top w:w="28" w:type="dxa"/>
          <w:left w:w="28" w:type="dxa"/>
          <w:bottom w:w="28" w:type="dxa"/>
          <w:right w:w="28" w:type="dxa"/>
        </w:tblCellMar>
      </w:tblPr>
      <w:tblGrid>
        <w:gridCol w:w="2157"/>
        <w:gridCol w:w="1897"/>
        <w:gridCol w:w="1901"/>
        <w:gridCol w:w="211"/>
        <w:gridCol w:w="721"/>
        <w:gridCol w:w="109"/>
        <w:gridCol w:w="211"/>
        <w:gridCol w:w="721"/>
        <w:gridCol w:w="109"/>
        <w:gridCol w:w="211"/>
        <w:gridCol w:w="721"/>
        <w:gridCol w:w="154"/>
      </w:tblGrid>
      <w:tr>
        <w:trPr/>
        <w:tc>
          <w:tcPr>
            <w:tcW w:w="2157"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 ended August 31,</w:t>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(in thousands)</w:t>
            </w:r>
            <w:r>
              <w:rPr>
                <w:color w:val="000000"/>
              </w:rPr>
              <w:t xml:space="preserve"> </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595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40,176 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40,613 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39,386 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Lease ROU assets obtained in exchange for lease liabilities</w:t>
            </w:r>
            <w:r>
              <w:rPr>
                <w:rFonts w:ascii="Times New Roman;serif" w:hAnsi="Times New Roman;serif"/>
                <w:b w:val="false"/>
                <w:color w:val="000000"/>
                <w:sz w:val="13"/>
              </w:rPr>
              <w:t>(1)</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Reductions to ROU assets resulting from reductions to lease liabilities</w:t>
            </w:r>
            <w:r>
              <w:rPr>
                <w:rFonts w:ascii="Times New Roman;serif" w:hAnsi="Times New Roman;serif"/>
                <w:b w:val="false"/>
                <w:color w:val="000000"/>
                <w:sz w:val="13"/>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(1) Primarily includes new lease arrangements entered into during the respective period and contract modifications that extend our lease terms and/or provide additional rights.</w:t>
      </w:r>
    </w:p>
    <w:p>
      <w:pPr>
        <w:pStyle w:val="TextBody"/>
        <w:bidi w:val="0"/>
        <w:spacing w:lineRule="auto" w:line="288" w:before="0" w:after="10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 xml:space="preserve">(2) Primarily relates to lease term reassessments based on contractual options to early terminate, resulting in a reduction to the lease liability and the corresponding lease ROU asset.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4"/>
        </w:rPr>
      </w:pPr>
      <w:r>
        <w:rPr>
          <w:rFonts w:ascii="Times New Roman;serif" w:hAnsi="Times New Roman;serif"/>
          <w:b/>
          <w:color w:val="000000"/>
          <w:sz w:val="24"/>
        </w:rPr>
        <w:t>10. DEBT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not elected the fair value option and report our debt at amortized cost. Our debt obligations as of August 31, 2026 and August 31, 2025 consisted of the following: </w:t>
      </w:r>
    </w:p>
    <w:tbl>
      <w:tblPr>
        <w:tblW w:w="10205" w:type="dxa"/>
        <w:jc w:val="left"/>
        <w:tblInd w:w="0" w:type="dxa"/>
        <w:tblLayout w:type="fixed"/>
        <w:tblCellMar>
          <w:top w:w="28" w:type="dxa"/>
          <w:left w:w="28" w:type="dxa"/>
          <w:bottom w:w="28" w:type="dxa"/>
          <w:right w:w="28" w:type="dxa"/>
        </w:tblCellMar>
      </w:tblPr>
      <w:tblGrid>
        <w:gridCol w:w="1612"/>
        <w:gridCol w:w="1396"/>
        <w:gridCol w:w="1381"/>
        <w:gridCol w:w="360"/>
        <w:gridCol w:w="360"/>
        <w:gridCol w:w="362"/>
        <w:gridCol w:w="625"/>
        <w:gridCol w:w="625"/>
        <w:gridCol w:w="626"/>
        <w:gridCol w:w="228"/>
        <w:gridCol w:w="1058"/>
        <w:gridCol w:w="117"/>
        <w:gridCol w:w="228"/>
        <w:gridCol w:w="1055"/>
        <w:gridCol w:w="172"/>
      </w:tblGrid>
      <w:tr>
        <w:trPr/>
        <w:tc>
          <w:tcPr>
            <w:tcW w:w="1612"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Issuance Date</w:t>
            </w:r>
          </w:p>
        </w:tc>
        <w:tc>
          <w:tcPr>
            <w:tcW w:w="1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Contractual Maturity Date</w:t>
            </w:r>
          </w:p>
        </w:tc>
        <w:tc>
          <w:tcPr>
            <w:tcW w:w="1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2025</w:t>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debt</w:t>
            </w:r>
          </w:p>
        </w:tc>
        <w:tc>
          <w:tcPr>
            <w:tcW w:w="108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 Notes</w:t>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3/1/2022</w:t>
            </w:r>
          </w:p>
        </w:tc>
        <w:tc>
          <w:tcPr>
            <w:tcW w:w="1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3/1/2027</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unamortized discounts and debt issuance costs on Current debt</w:t>
            </w:r>
            <w:r>
              <w:rPr>
                <w:rFonts w:ascii="Times New Roman;serif" w:hAnsi="Times New Roman;serif"/>
                <w:b w:val="false"/>
                <w:color w:val="000000"/>
                <w:sz w:val="13"/>
              </w:rPr>
              <w:t>(2)</w:t>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debt</w:t>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499,436 </w:t>
            </w:r>
          </w:p>
        </w:tc>
        <w:tc>
          <w:tcPr>
            <w:tcW w:w="117"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2025 Term Facility</w:t>
            </w:r>
            <w:r>
              <w:rPr>
                <w:rFonts w:ascii="Times New Roman;serif" w:hAnsi="Times New Roman;serif"/>
                <w:b w:val="false"/>
                <w:color w:val="000000"/>
                <w:sz w:val="13"/>
              </w:rPr>
              <w:t>(1)</w:t>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4/8/2025</w:t>
            </w:r>
          </w:p>
        </w:tc>
        <w:tc>
          <w:tcPr>
            <w:tcW w:w="1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8/28/2029</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375,000 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 Notes</w:t>
            </w:r>
          </w:p>
        </w:tc>
        <w:tc>
          <w:tcPr>
            <w:tcW w:w="1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3/1/2022</w:t>
            </w:r>
          </w:p>
        </w:tc>
        <w:tc>
          <w:tcPr>
            <w:tcW w:w="1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3/1/2027</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2032 Notes</w:t>
            </w:r>
          </w:p>
        </w:tc>
        <w:tc>
          <w:tcPr>
            <w:tcW w:w="1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3/1/2022</w:t>
            </w:r>
          </w:p>
        </w:tc>
        <w:tc>
          <w:tcPr>
            <w:tcW w:w="1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3/1/2032</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Unamortized discounts and debt issuance costs</w:t>
            </w:r>
            <w:r>
              <w:rPr>
                <w:rFonts w:ascii="Times New Roman;serif" w:hAnsi="Times New Roman;serif"/>
                <w:b w:val="false"/>
                <w:color w:val="000000"/>
                <w:sz w:val="13"/>
              </w:rPr>
              <w:t>(2)</w:t>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870,586 </w:t>
            </w:r>
          </w:p>
        </w:tc>
        <w:tc>
          <w:tcPr>
            <w:tcW w:w="11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1,368,260 </w:t>
            </w:r>
          </w:p>
        </w:tc>
        <w:tc>
          <w:tcPr>
            <w:tcW w:w="17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1,370,022 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1,368,260 </w:t>
            </w:r>
          </w:p>
        </w:tc>
        <w:tc>
          <w:tcPr>
            <w:tcW w:w="1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pPr>
      <w:r>
        <w:rPr>
          <w:rFonts w:ascii="Times New Roman;serif" w:hAnsi="Times New Roman;serif"/>
          <w:b w:val="false"/>
          <w:color w:val="000000"/>
          <w:sz w:val="18"/>
        </w:rPr>
        <w:t xml:space="preserve">(1) On August 28, 2026, we amended the 2025 Credit Agreement. Refer to </w:t>
      </w:r>
      <w:r>
        <w:rPr>
          <w:rFonts w:ascii="Times New Roman;serif" w:hAnsi="Times New Roman;serif"/>
          <w:b w:val="false"/>
          <w:i/>
          <w:color w:val="000000"/>
          <w:sz w:val="18"/>
        </w:rPr>
        <w:t>2025 Credit Agreement</w:t>
      </w:r>
      <w:r>
        <w:rPr>
          <w:color w:val="000000"/>
        </w:rPr>
        <w:t xml:space="preserve"> </w:t>
      </w:r>
      <w:r>
        <w:rPr>
          <w:rFonts w:ascii="Times New Roman;serif" w:hAnsi="Times New Roman;serif"/>
          <w:b w:val="false"/>
          <w:color w:val="000000"/>
          <w:sz w:val="18"/>
        </w:rPr>
        <w:t>within this section below, for more information.</w:t>
      </w:r>
    </w:p>
    <w:p>
      <w:pPr>
        <w:pStyle w:val="TextBody"/>
        <w:bidi w:val="0"/>
        <w:spacing w:lineRule="auto" w:line="288" w:before="60" w:after="283"/>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 xml:space="preserve">(2) Debt issuance costs are presented in the Consolidated Balance Sheets as a direct deduction from the carrying amount of the debt liability for the 2025 Term Facility, 2027 Notes and 2032 Notes. For the 2025 Revolving Facility, debt issuance costs are presented within Other assets, as such, they are excluded from the table above. </w:t>
      </w:r>
    </w:p>
    <w:p>
      <w:pPr>
        <w:pStyle w:val="TextBody"/>
        <w:bidi w:val="0"/>
        <w:spacing w:lineRule="auto" w:line="288" w:before="200" w:after="180"/>
        <w:jc w:val="left"/>
        <w:rPr>
          <w:rFonts w:ascii="Times New Roman;serif" w:hAnsi="Times New Roman;serif"/>
          <w:b w:val="false"/>
          <w:color w:val="000000"/>
          <w:sz w:val="20"/>
        </w:rPr>
      </w:pPr>
      <w:r>
        <w:rPr>
          <w:rFonts w:ascii="Times New Roman;serif" w:hAnsi="Times New Roman;serif"/>
          <w:b w:val="false"/>
          <w:color w:val="000000"/>
          <w:sz w:val="20"/>
        </w:rPr>
        <w:t>As of August 31, 2026, annual maturities on our debt obligations, based on contractual maturity dates, were as follows:</w:t>
      </w:r>
    </w:p>
    <w:tbl>
      <w:tblPr>
        <w:tblW w:w="3935" w:type="dxa"/>
        <w:jc w:val="left"/>
        <w:tblInd w:w="0" w:type="dxa"/>
        <w:tblLayout w:type="fixed"/>
        <w:tblCellMar>
          <w:top w:w="28" w:type="dxa"/>
          <w:left w:w="28" w:type="dxa"/>
          <w:bottom w:w="28" w:type="dxa"/>
          <w:right w:w="28" w:type="dxa"/>
        </w:tblCellMar>
      </w:tblPr>
      <w:tblGrid>
        <w:gridCol w:w="940"/>
        <w:gridCol w:w="826"/>
        <w:gridCol w:w="828"/>
        <w:gridCol w:w="211"/>
        <w:gridCol w:w="976"/>
        <w:gridCol w:w="154"/>
      </w:tblGrid>
      <w:tr>
        <w:trP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(in thousands)</w:t>
            </w:r>
            <w:r>
              <w:rPr>
                <w:color w:val="000000"/>
              </w:rPr>
              <w:t xml:space="preserve"> </w:t>
            </w:r>
          </w:p>
        </w:tc>
        <w:tc>
          <w:tcPr>
            <w:tcW w:w="13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Maturities</w:t>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Years Ended August 31,</w:t>
            </w:r>
          </w:p>
        </w:tc>
        <w:tc>
          <w:tcPr>
            <w:tcW w:w="13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9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1,375,000 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rFonts w:ascii="Times New Roman;serif" w:hAnsi="Times New Roman;serif"/>
          <w:b/>
          <w:color w:val="000000"/>
          <w:sz w:val="20"/>
        </w:rPr>
      </w:pPr>
      <w:r>
        <w:rPr>
          <w:rFonts w:ascii="Times New Roman;serif" w:hAnsi="Times New Roman;serif"/>
          <w:b/>
          <w:color w:val="000000"/>
          <w:sz w:val="20"/>
        </w:rPr>
        <w:t>2025 Credit Agreement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April 8, 2025, we entered into a credit agreement (the "2025 Credit Agreement") under which we borrowed $500.0 million under a senior unsecured term loan credit facility (the "2025 Term Facility") and obtained a $1.0 billion senior unsecured revolving credit facility (the "2025 Revolving Facility"). The 2025 Revolving Facility, together with the 2025 Term Facility, are referred to as the "2025 Credit Facilities". The 2025 Credit Facilities contain incremental provisions that permit us to seek additional commitments of up to $1.0 billion under the 2025 Credit Facilities from lenders or other financial institutions. The 2025 Revolving Facility also provides for up to $100.0 million in the form of letters of credit and up to $100.0 million in the form of swingline loans. We used the proceeds from the 2025 Term Facility borrowing to repay the outstanding balance under the 2022 Revolving Facility (as defined below).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August 28, 2026, we entered into Amendment No. 1 (the “Amendment Agreement”) to the 2025 Credit Agreement, which primarily (a) extended the maturity date of the 2025 Term Facility from April 8, 2028 to August 28, 2029, (b) extended the maturity date of the 2025 Revolving Facility from April 8, 2030 to August 28, 2031 and increased the revolving commitments by $500.0 million to a total of $1.5 billion without reducing the capacity under the incremental facilities provisions described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above, (c) removed the scheduled quarterly principal payment obligations with respect to the 2025 Term Facility and (d) removed the credit spread adjustment of 0.1% for borrowings under the 2025 Credit Facilities.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Prior to the Amendment Agreement, the 2025 Term Facility was subject to scheduled quarterly principal payment obligations, commencing on August 31, 2025, with each quarterly principal payment equal to 1.25% of the original principal amount of the 2025 Term Facility. We satisfied all scheduled quarterly principal payments through the date of the Amendment Agreement.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2025 Credit Facilities are not otherwise subject to any mandatory repayments. We may voluntarily prepay loans under the 2025 Credit Facilities at any time without premium or penalty. </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As of August 31, 2026, our outstanding debt under the 2025 Term Facility was $375.0 million and we had no outstanding borrowings under the 2025 Revolving Facility. Subsequent to August 31, 2026, we borrowed $90.0 million under the 2025 Revolving Facility.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From the initial borrowing date of April 8, 2025 through the Amendment Agreement, the outstanding borrowings under the 2025 Credit Facilities bore interest at a rate equal to the applicable one-month Term Secured Overnight Financing Rate ("SOFR") plus a 0.975% spread (comprised of a 0.875% interest rate margin, based on a pricing grid determined by reference to our senior unsecured non-credit enhanced long-term debt rating and our total leverage ratio, plus a 0.1% credit spread adjustment). Following the Amendment Agreement and from August 28, 2026 through August 31, 2026, outstanding borrowings under the Credit Facilities bore interest at a rate equal to the applicable one-month Term SOFR plus a 0.875% interest rate margin, based on a pricing grid determined by reference to our senior unsecured non-credit enhanced long-term debt rating and our total leverage ratio. Interest on the 2025 Credit Facilities is currently payable on the last business day of each month, in arrears.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continue to pay a commitment fee on the daily unused amount of the 2025 Revolving Facility using a pricing grid based on our senior unsecured non-credit enhanced long-term debt rating and our total leverage ratio. The commitment fee remained consistent at 0.1% from April 8, 2025 through August 31, 2026.</w:t>
      </w:r>
    </w:p>
    <w:p>
      <w:pPr>
        <w:pStyle w:val="TextBody"/>
        <w:bidi w:val="0"/>
        <w:spacing w:lineRule="auto" w:line="276"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2025 Credit Agreement contains usual and customary event of default provisions for facilities of this type, which are subject to usual and customary grace periods and materiality thresholds. If an event of default occurs under the 2025 Credit Agreement, the lenders may, among other things, terminate their commitments and declare all outstanding borrowings immediately due and payable.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2025 Credit Agreement contains usual and customary affirmative and negative covenants for facilities of this type, including a financial covenant requiring maintenance of a total leverage ratio of no greater than 3.75 to 1.00 as of the last day of each fiscal quarter (subject to an increase to 4.25 to 1.00 for five consecutive fiscal quarters in connection with certain material acquisitions). We were in compliance with all covenants and requirements of the 2025 Credit Agreement as of August 31, 2026.</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2022 Credit Agreement</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 2022, we entered into a credit agreement (the "2022 Credit Agreement") and borrowed $1.0 billion under a senior unsecured term loan credit facility (the "2022 Term Facility") and $250.0 million of the available $500.0 million under a senior unsecured revolving credit facility (the "2022 Revolving Facility"). The 2022 Revolving Facility, together with the 2022 Term Facility, are referred to as the "2022 Credit Facilities". On January 31, 2025, we entered into a joinder agreement to our 2022 Credit Agreement pursuant to which commitments under the 2022 Revolving Facility were increased by $100.0 million, to a total of $600.0 million. All other terms of the 2022 Credit Agreement remained unchanged. </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Borrowings previously outstanding under the 2022 Credit Facilities bore interest at a rate equal to the applicable one-month Term SOFR plus a spread using a debt leverage pricing grid and a credit spread adjustment (with total spread ranging from 0.975% to 1.1% over the term of the debt). The 2022 Credit Agreement was terminated on April 8, 2025, concurrent with entering into the 2025 Credit Agreement.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Senior Notes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March 1, 2022, we completed a public offering issuing $500.0 million of 2.900% Senior Notes due March 1, 2027 (the "2027 Notes") and $500.0 million of 3.450% Senior Notes due March 1, 2032 (the "2032 Notes" and, together with the 2027 Notes, the "Senior Notes"). The Senior Notes were issued pursuant to an indenture, dated as of March 1, 2022, by and between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us and U.S. Bank Trust Company, National Association, as trustee (the "Trustee"), as supplemented by the supplemental indenture, dated as of March 1, 2022, between us and the Trustee (the "Supplemental Indenture").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Interest on the Senior Notes is payable semiannually in arrears on March 1 and September 1 of each year.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may redeem the Senior Notes, in whole or in part, at any time at specified redemption prices, plus any accrued and unpaid interest. Upon the occurrence of a change of control triggering event (as defined in the Supplemental Indenture), we must offer to repurchase the Senior Notes at 101% of their principal amount, plus any accrued and unpaid interest. </w:t>
      </w:r>
    </w:p>
    <w:p>
      <w:pPr>
        <w:pStyle w:val="TextBody"/>
        <w:bidi w:val="0"/>
        <w:spacing w:lineRule="auto" w:line="288" w:before="200" w:after="200"/>
        <w:jc w:val="both"/>
        <w:rPr>
          <w:rFonts w:ascii="Times New Roman;serif" w:hAnsi="Times New Roman;serif"/>
          <w:b/>
          <w:color w:val="000000"/>
          <w:sz w:val="20"/>
        </w:rPr>
      </w:pPr>
      <w:r>
        <w:rPr>
          <w:rFonts w:ascii="Times New Roman;serif" w:hAnsi="Times New Roman;serif"/>
          <w:b/>
          <w:color w:val="000000"/>
          <w:sz w:val="20"/>
        </w:rPr>
        <w:t>Interest Rate Swap Agreements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We may leverage interest rate swap agreements to manage our floating interest rate exposure with a fixed interest rate. Our interest rate swap agreements are designated as cash flow hedges at inception.</w:t>
      </w:r>
    </w:p>
    <w:p>
      <w:pPr>
        <w:pStyle w:val="TextBody"/>
        <w:bidi w:val="0"/>
        <w:spacing w:lineRule="auto" w:line="288" w:before="200" w:after="200"/>
        <w:jc w:val="both"/>
        <w:rPr>
          <w:rFonts w:ascii="Times New Roman;serif" w:hAnsi="Times New Roman;serif"/>
          <w:b w:val="false"/>
          <w:i/>
          <w:color w:val="000000"/>
          <w:sz w:val="20"/>
        </w:rPr>
      </w:pPr>
      <w:r>
        <w:rPr>
          <w:rFonts w:ascii="Times New Roman;serif" w:hAnsi="Times New Roman;serif"/>
          <w:b w:val="false"/>
          <w:i/>
          <w:color w:val="000000"/>
          <w:sz w:val="20"/>
        </w:rPr>
        <w:t>2025 Swap Agreement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April 24, 2025, we entered into an interest rate swap agreement ("2025 Swap Agreement") with a notional amount of $200.0 million to hedge a portion of our outstanding floating SOFR debt with a fixed interest rate of 4.086%. The notional amount of the 2025 Swap Agreement declined by $50.0 million on a quarterly basis beginning May 31, 2025. The 2025 Swap Agreement matured on February 28, 2026.</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2024 Swap Agreement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March 1, 2024, we entered into an interest rate swap agreement ("2024 Swap Agreement") with a notional amount of $200.0 million to hedge a portion of our outstanding floating SOFR debt with a fixed interest rate of 5.145%. The notional amount of the 2024 Swap Agreement declined by $50.0 million on a quarterly basis beginning May 31, 2024. The 2024 Swap Agreement matured on February 28, 2025. </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2022 Swap Agreement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March 1, 2022, we entered into an interest rate swap agreement ("2022 Swap Agreement") with a notional amount of $800.0 million to hedge a portion of our outstanding floating SOFR debt with a fixed interest rate of 1.162%. The notional amount of the 2022 Swap Agreement declined by $100.0 million on a quarterly basis beginning May 31, 2022. The 2022 Swap Agreement matured on February 28, 2024.</w:t>
      </w:r>
    </w:p>
    <w:p>
      <w:pPr>
        <w:pStyle w:val="TextBody"/>
        <w:bidi w:val="0"/>
        <w:spacing w:lineRule="auto" w:line="288" w:before="200" w:after="283"/>
        <w:jc w:val="both"/>
        <w:rPr/>
      </w:pPr>
      <w:r>
        <w:rPr>
          <w:rFonts w:ascii="Times New Roman;serif" w:hAnsi="Times New Roman;serif"/>
          <w:b w:val="false"/>
          <w:color w:val="000000"/>
          <w:sz w:val="20"/>
        </w:rPr>
        <w:t xml:space="preserve">Refer to Part II, Item 7A. </w:t>
      </w:r>
      <w:r>
        <w:rPr>
          <w:rFonts w:ascii="Times New Roman;serif" w:hAnsi="Times New Roman;serif"/>
          <w:b w:val="false"/>
          <w:i/>
          <w:color w:val="000000"/>
          <w:sz w:val="20"/>
        </w:rPr>
        <w:t>Quantitative and Qualitative Disclosures About Market Risk</w:t>
      </w:r>
      <w:r>
        <w:rPr>
          <w:rFonts w:ascii="Times New Roman;serif" w:hAnsi="Times New Roman;serif"/>
          <w:b w:val="false"/>
          <w:color w:val="000000"/>
          <w:sz w:val="20"/>
        </w:rPr>
        <w:t>, in this Annual Report on Form 10-K, for further discussion of our exposure to interest rate risk on our outstanding floating rate debt.</w:t>
      </w:r>
    </w:p>
    <w:p>
      <w:pPr>
        <w:pStyle w:val="TextBody"/>
        <w:bidi w:val="0"/>
        <w:spacing w:lineRule="auto" w:line="288" w:before="200" w:after="200"/>
        <w:jc w:val="both"/>
        <w:rPr>
          <w:rFonts w:ascii="Times New Roman;serif" w:hAnsi="Times New Roman;serif"/>
          <w:b/>
          <w:color w:val="000000"/>
          <w:sz w:val="20"/>
        </w:rPr>
      </w:pPr>
      <w:r>
        <w:rPr>
          <w:rFonts w:ascii="Times New Roman;serif" w:hAnsi="Times New Roman;serif"/>
          <w:b/>
          <w:color w:val="000000"/>
          <w:sz w:val="20"/>
        </w:rPr>
        <w:t>Interest Expense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interest expense on our outstanding debt which is a component of Interest expense in our Consolidated Statements of Income. </w:t>
      </w:r>
    </w:p>
    <w:tbl>
      <w:tblPr>
        <w:tblW w:w="6273" w:type="dxa"/>
        <w:jc w:val="left"/>
        <w:tblInd w:w="0" w:type="dxa"/>
        <w:tblLayout w:type="fixed"/>
        <w:tblCellMar>
          <w:top w:w="28" w:type="dxa"/>
          <w:left w:w="28" w:type="dxa"/>
          <w:bottom w:w="28" w:type="dxa"/>
          <w:right w:w="28" w:type="dxa"/>
        </w:tblCellMar>
      </w:tblPr>
      <w:tblGrid>
        <w:gridCol w:w="1125"/>
        <w:gridCol w:w="989"/>
        <w:gridCol w:w="991"/>
        <w:gridCol w:w="211"/>
        <w:gridCol w:w="721"/>
        <w:gridCol w:w="109"/>
        <w:gridCol w:w="211"/>
        <w:gridCol w:w="721"/>
        <w:gridCol w:w="109"/>
        <w:gridCol w:w="211"/>
        <w:gridCol w:w="721"/>
        <w:gridCol w:w="154"/>
      </w:tblGrid>
      <w:tr>
        <w:trPr/>
        <w:tc>
          <w:tcPr>
            <w:tcW w:w="1125"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 Ended August 31,</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(in thousands)</w:t>
            </w:r>
            <w:r>
              <w:rPr>
                <w:color w:val="000000"/>
              </w:rPr>
              <w:t xml:space="preserve"> </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1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on outstanding debt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65,412 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60"/>
        <w:jc w:val="both"/>
        <w:rPr>
          <w:rFonts w:ascii="Times New Roman;serif" w:hAnsi="Times New Roman;serif"/>
          <w:b w:val="false"/>
          <w:color w:val="000000"/>
          <w:sz w:val="20"/>
        </w:rPr>
      </w:pPr>
      <w:r>
        <w:rPr>
          <w:rFonts w:ascii="Times New Roman;serif" w:hAnsi="Times New Roman;serif"/>
          <w:b w:val="false"/>
          <w:color w:val="000000"/>
          <w:sz w:val="20"/>
        </w:rPr>
        <w:t>Interest expense on our outstanding debt includes the related amortization of debt issuance costs and debt discounts, net of the effects related to any outstanding interest rate swaps. The debt issuance costs for the 2025 Term Facility and 2025 Revolving Facility are amortized to Interest expense in the Consolidated Statements of Income on a straight-line basis over the contractual term of the debt (which approximates the effective interest method for the 2025 Term Facility). The debt discounts and debt issuance costs for the Senior Notes are amortized to Interest expense in the Consolidated Statements of Income over the contractual term of the debt, leveraging the effective interest method.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4"/>
        </w:rPr>
      </w:pPr>
      <w:r>
        <w:rPr>
          <w:rFonts w:ascii="Times New Roman;serif" w:hAnsi="Times New Roman;serif"/>
          <w:b/>
          <w:color w:val="000000"/>
          <w:sz w:val="24"/>
        </w:rPr>
        <w:t>11. COMMITMENTS AND CONTINGENCIES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Commitments represent obligations, such as those for future purchases of goods or services that are not yet recorded on the balance sheet as liabilities. We record liabilities for commitments when incurred (i.e., when the goods or services are received).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Except for income tax contingencies, we accrue for contingencies when we believe that a loss is probable and the amount can be reasonably estimated. Judgment is required to determine both the probability and the estimated amount of loss. If the reasonable estimate of a probable loss is a range, we record an accrual for the most probable estimate of the loss or the minimum amount when no amount within the range is a better estimate than any other amount. We review these accruals on a quarterly basis and adjust, as necessary, to reflect the impact of negotiations, settlements, rulings, advice of legal counsel and other current information. Contingent gains are recognized only when realized. </w:t>
      </w:r>
    </w:p>
    <w:p>
      <w:pPr>
        <w:pStyle w:val="TextBody"/>
        <w:bidi w:val="0"/>
        <w:spacing w:lineRule="auto" w:line="288" w:before="200" w:after="283"/>
        <w:jc w:val="both"/>
        <w:rPr/>
      </w:pPr>
      <w:r>
        <w:rPr>
          <w:rFonts w:ascii="Times New Roman;serif" w:hAnsi="Times New Roman;serif"/>
          <w:b w:val="false"/>
          <w:color w:val="000000"/>
          <w:sz w:val="20"/>
        </w:rPr>
        <w:t xml:space="preserve">Income tax contingencies related to uncertain tax positions are accounted for in accordance with applicable accounting guidance. Refer to Note 2, </w:t>
      </w:r>
      <w:r>
        <w:rPr>
          <w:rFonts w:ascii="Times New Roman;serif" w:hAnsi="Times New Roman;serif"/>
          <w:b w:val="false"/>
          <w:i/>
          <w:color w:val="000000"/>
          <w:sz w:val="20"/>
        </w:rPr>
        <w:t>Summary of Significant Accounting Policies - Income Taxes</w:t>
      </w:r>
      <w:r>
        <w:rPr>
          <w:color w:val="000000"/>
        </w:rPr>
        <w:t xml:space="preserve"> </w:t>
      </w:r>
      <w:r>
        <w:rPr>
          <w:rFonts w:ascii="Times New Roman;serif" w:hAnsi="Times New Roman;serif"/>
          <w:b w:val="false"/>
          <w:color w:val="000000"/>
          <w:sz w:val="20"/>
        </w:rPr>
        <w:t xml:space="preserve">for further details.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Purchase Commitments with Suppliers and Vendors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Purchase obligations represent our legally-binding agreements to purchase fixed or minimum quantities at determinable prices. We had total purchase obligations with suppliers and vendors of approximately $360 million and $352 million, as of August 31, 2026 and 2025, respectively. Our total purchase obligations as of August 31, 2026 primarily relate to the acquisition of data, hosting services, and, to a lesser extent, third-party software providers.</w:t>
      </w:r>
    </w:p>
    <w:p>
      <w:pPr>
        <w:pStyle w:val="TextBody"/>
        <w:bidi w:val="0"/>
        <w:spacing w:lineRule="auto" w:line="288" w:before="200" w:after="200"/>
        <w:jc w:val="both"/>
        <w:rPr/>
      </w:pPr>
      <w:r>
        <w:rPr>
          <w:rFonts w:ascii="Times New Roman;serif" w:hAnsi="Times New Roman;serif"/>
          <w:b w:val="false"/>
          <w:color w:val="000000"/>
          <w:sz w:val="20"/>
        </w:rPr>
        <w:t xml:space="preserve">We also have contractual obligations related to our lease liabilities and outstanding debt, refer to Note 9, </w:t>
      </w:r>
      <w:r>
        <w:rPr>
          <w:rFonts w:ascii="Times New Roman;serif" w:hAnsi="Times New Roman;serif"/>
          <w:b w:val="false"/>
          <w:i/>
          <w:color w:val="000000"/>
          <w:sz w:val="20"/>
        </w:rPr>
        <w:t>Leases</w:t>
      </w:r>
      <w:r>
        <w:rPr>
          <w:color w:val="000000"/>
        </w:rPr>
        <w:t xml:space="preserve"> </w:t>
      </w:r>
      <w:r>
        <w:rPr>
          <w:rFonts w:ascii="Times New Roman;serif" w:hAnsi="Times New Roman;serif"/>
          <w:b w:val="false"/>
          <w:color w:val="000000"/>
          <w:sz w:val="20"/>
        </w:rPr>
        <w:t xml:space="preserve">and Note 10, </w:t>
      </w:r>
      <w:r>
        <w:rPr>
          <w:rFonts w:ascii="Times New Roman;serif" w:hAnsi="Times New Roman;serif"/>
          <w:b w:val="false"/>
          <w:i/>
          <w:color w:val="000000"/>
          <w:sz w:val="20"/>
        </w:rPr>
        <w:t>Debt</w:t>
      </w:r>
      <w:r>
        <w:rPr>
          <w:rFonts w:ascii="Times New Roman;serif" w:hAnsi="Times New Roman;serif"/>
          <w:b w:val="false"/>
          <w:color w:val="000000"/>
          <w:sz w:val="20"/>
        </w:rPr>
        <w:t>, respectively,</w:t>
      </w:r>
      <w:r>
        <w:rPr>
          <w:color w:val="000000"/>
        </w:rPr>
        <w:t xml:space="preserve"> </w:t>
      </w:r>
      <w:r>
        <w:rPr>
          <w:rFonts w:ascii="Times New Roman;serif" w:hAnsi="Times New Roman;serif"/>
          <w:b w:val="false"/>
          <w:color w:val="000000"/>
          <w:sz w:val="20"/>
        </w:rPr>
        <w:t>for more information.</w:t>
      </w:r>
    </w:p>
    <w:p>
      <w:pPr>
        <w:pStyle w:val="TextBody"/>
        <w:bidi w:val="0"/>
        <w:spacing w:lineRule="auto" w:line="288" w:before="200" w:after="200"/>
        <w:jc w:val="both"/>
        <w:rPr>
          <w:rFonts w:ascii="Times New Roman;serif" w:hAnsi="Times New Roman;serif"/>
          <w:b/>
          <w:color w:val="000000"/>
          <w:sz w:val="20"/>
        </w:rPr>
      </w:pPr>
      <w:r>
        <w:rPr>
          <w:rFonts w:ascii="Times New Roman;serif" w:hAnsi="Times New Roman;serif"/>
          <w:b/>
          <w:color w:val="000000"/>
          <w:sz w:val="20"/>
        </w:rPr>
        <w:t>Letters of Credit</w:t>
      </w:r>
    </w:p>
    <w:p>
      <w:pPr>
        <w:pStyle w:val="TextBody"/>
        <w:bidi w:val="0"/>
        <w:spacing w:lineRule="auto" w:line="288" w:before="200" w:after="283"/>
        <w:jc w:val="both"/>
        <w:rPr/>
      </w:pPr>
      <w:r>
        <w:rPr>
          <w:rFonts w:ascii="Times New Roman;serif" w:hAnsi="Times New Roman;serif"/>
          <w:b w:val="false"/>
          <w:color w:val="000000"/>
          <w:sz w:val="20"/>
        </w:rPr>
        <w:t xml:space="preserve">From time to time, we are required to obtain letters of credit in the ordinary course of business. In addition, the 2025 Revolving Facility allows for the availability of up to $100.0 million in the form of letters of credit. We have not obtained any letters of credit under the 2025 Revolving Facility since its inception. No liabilities related to our outstanding letters of credit are reflected in the Consolidated Balance Sheets. Refer to Note 10, </w:t>
      </w:r>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 xml:space="preserve">for information regarding the 2025 Revolving Facility.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Contingencies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Legal Matters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the normal course of our business, we are engaged in various legal proceedings, claims, and litigation, and are from time to time subjected to government and regulatory proceedings, investigations, and inquiries. In view of the uncertainty inherent in such matters, we cannot predict the eventual outcome of such matters or the timing of their resolution, or in most cases reasonably estimate what the eventual judgments, damages, fines, penalties or impact of activity restrictions (if any) may be. As a result, we cannot provide assurance that such outcomes will not have a material adverse effect on our consolidated financial position, results of operations, cash flows, business or competitive position. Based on information available at August 31, 2026, management believes that the resolution of matters that are currently pending or asserted, individually or in the aggregate, will not have a material adverse effect on our consolidated financial position, results of operations or cash flows. As litigation or the process to resolve pending matters progresses, we will continue to review the latest information available and assess our ability to predict the outcome of such matters and the effects, if any, on our consolidated financial position, results of operations, cash flows, business or competitive position.</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As a multinational company operating in many states and countries, we are routinely audited by various taxing authorities and have reserved for potential adjustments to our provision for income taxes that may result from examinations by, or any negotiated settlements with, these tax authorities. We believe that the final outcome of these examinations or settlements will not have a material effect on our consolidated financial position, results of operations or our cash flows. If events occur which indicate payment of these amounts is unnecessary, the reversal of the liabilities would result in the recognition of tax benefits in the period we determine the liabilities are no longer necessary. If our estimates of the federal, state and foreign income tax liabilities are less than the ultimate assessment, additional expense would result.</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Sales Tax Matters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During August 2019 through February 2024, we received various assessment and audit notices from the Commonwealth of Massachusetts Department of Revenue (the "Commonwealth") with respect to sales taxes, interest and underpayment penalties relating to the tax periods from January 1, 2006 through December 31, 2023 ("Sales Tax Dispute"). We entered into an agreement with the Commonwealth on November 26, 2024 which fully resolved all matters relating to the Sales Tax Dispute.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first quarter of fiscal 2025 and the fourth quarter of fiscal 2024, we took charges of approximately $2.4 million and $54.0 million, respectively, related to this dispute and made corresponding payments of $56.4 million to the Commonwealth during the first quarter of fiscal 2025. In addition to reserves taken in prior fiscal years, this brought our total charge and cash payments with respect to this matter to approximately $66.2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4"/>
        </w:rPr>
      </w:pPr>
      <w:r>
        <w:rPr>
          <w:rFonts w:ascii="Times New Roman;serif" w:hAnsi="Times New Roman;serif"/>
          <w:b/>
          <w:color w:val="000000"/>
          <w:sz w:val="24"/>
        </w:rPr>
        <w:t>12. STOCKHOLDERS' EQUITY</w:t>
      </w:r>
    </w:p>
    <w:p>
      <w:pPr>
        <w:pStyle w:val="TextBody"/>
        <w:bidi w:val="0"/>
        <w:spacing w:lineRule="auto" w:line="288" w:before="3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shares of common stock repurchased under our share repurchase program and acquired from holders of our stock-based awards upon vesting to satisfy tax withholding requirements: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Share Repurchases</w:t>
      </w:r>
    </w:p>
    <w:tbl>
      <w:tblPr>
        <w:tblW w:w="10205" w:type="dxa"/>
        <w:jc w:val="left"/>
        <w:tblInd w:w="0" w:type="dxa"/>
        <w:tblLayout w:type="fixed"/>
        <w:tblCellMar>
          <w:top w:w="28" w:type="dxa"/>
          <w:left w:w="28" w:type="dxa"/>
          <w:bottom w:w="28" w:type="dxa"/>
          <w:right w:w="28" w:type="dxa"/>
        </w:tblCellMar>
      </w:tblPr>
      <w:tblGrid>
        <w:gridCol w:w="1099"/>
        <w:gridCol w:w="851"/>
        <w:gridCol w:w="856"/>
        <w:gridCol w:w="488"/>
        <w:gridCol w:w="488"/>
        <w:gridCol w:w="211"/>
        <w:gridCol w:w="211"/>
        <w:gridCol w:w="826"/>
        <w:gridCol w:w="109"/>
        <w:gridCol w:w="109"/>
        <w:gridCol w:w="109"/>
        <w:gridCol w:w="109"/>
        <w:gridCol w:w="413"/>
        <w:gridCol w:w="413"/>
        <w:gridCol w:w="211"/>
        <w:gridCol w:w="211"/>
        <w:gridCol w:w="826"/>
        <w:gridCol w:w="109"/>
        <w:gridCol w:w="109"/>
        <w:gridCol w:w="109"/>
        <w:gridCol w:w="109"/>
        <w:gridCol w:w="413"/>
        <w:gridCol w:w="413"/>
        <w:gridCol w:w="211"/>
        <w:gridCol w:w="211"/>
        <w:gridCol w:w="826"/>
        <w:gridCol w:w="155"/>
      </w:tblGrid>
      <w:tr>
        <w:trPr/>
        <w:tc>
          <w:tcPr>
            <w:tcW w:w="109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8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share data)</w:t>
            </w:r>
          </w:p>
        </w:tc>
        <w:tc>
          <w:tcPr>
            <w:tcW w:w="7399"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Years Ended August 31, </w:t>
            </w:r>
          </w:p>
        </w:tc>
      </w:tr>
      <w:tr>
        <w:trPr/>
        <w:tc>
          <w:tcPr>
            <w:tcW w:w="2806" w:type="dxa"/>
            <w:gridSpan w:val="3"/>
            <w:vMerge w:val="continue"/>
            <w:tcBorders/>
            <w:tcMar>
              <w:top w:w="0" w:type="dxa"/>
              <w:left w:w="0" w:type="dxa"/>
              <w:bottom w:w="0" w:type="dxa"/>
              <w:right w:w="0" w:type="dxa"/>
            </w:tcMar>
            <w:vAlign w:val="center"/>
          </w:tcPr>
          <w:p>
            <w:pPr>
              <w:pStyle w:val="Normal"/>
              <w:bidi w:val="0"/>
              <w:jc w:val="left"/>
              <w:rPr/>
            </w:pPr>
            <w:r>
              <w:rPr/>
            </w:r>
          </w:p>
        </w:tc>
        <w:tc>
          <w:tcPr>
            <w:tcW w:w="233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2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11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11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119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r>
      <w:tr>
        <w:trPr/>
        <w:tc>
          <w:tcPr>
            <w:tcW w:w="28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Repurchases of common stock under the share repurchase program</w:t>
            </w:r>
            <w:r>
              <w:rPr>
                <w:rFonts w:ascii="Times New Roman;serif" w:hAnsi="Times New Roman;serif"/>
                <w:b w:val="false"/>
                <w:color w:val="000000"/>
                <w:sz w:val="13"/>
              </w:rPr>
              <w:t>(1)</w:t>
            </w:r>
          </w:p>
        </w:tc>
        <w:tc>
          <w:tcPr>
            <w:tcW w:w="97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2,608,284 </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643,961 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684,960 </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300,457 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537,800 </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235,235 </w:t>
            </w:r>
          </w:p>
        </w:tc>
        <w:tc>
          <w:tcPr>
            <w:tcW w:w="15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 to satisfy tax withholding requirements due upon vesting of stock-based awards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35,791 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37,589 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 xml:space="preserve">(1) In addition, we are subject to a 1% excise tax on corporate stock repurchases required under the Inflation Reduction Act of 2022 of $6.1 million, $3.0 million and $1.7 million for fiscal 2026, 2025 and 2024, respectively. </w:t>
      </w:r>
    </w:p>
    <w:p>
      <w:pPr>
        <w:pStyle w:val="TextBody"/>
        <w:bidi w:val="0"/>
        <w:spacing w:lineRule="auto" w:line="288" w:before="200" w:after="60"/>
        <w:jc w:val="both"/>
        <w:rPr>
          <w:rFonts w:ascii="Times New Roman;serif" w:hAnsi="Times New Roman;serif"/>
          <w:b w:val="false"/>
          <w:color w:val="000000"/>
          <w:sz w:val="20"/>
        </w:rPr>
      </w:pPr>
      <w:r>
        <w:rPr>
          <w:rFonts w:ascii="Times New Roman;serif" w:hAnsi="Times New Roman;serif"/>
          <w:b w:val="false"/>
          <w:color w:val="000000"/>
          <w:sz w:val="20"/>
        </w:rPr>
        <w:t xml:space="preserve">We may repurchase shares of our common stock under our share repurchase program from time-to-time in the open market or via privately negotiated transactions, subject to market conditions. There is no defined number of shares to be repurchased over a specified timeframe through the life of our share repurchase program. </w:t>
      </w:r>
    </w:p>
    <w:p>
      <w:pPr>
        <w:pStyle w:val="TextBody"/>
        <w:bidi w:val="0"/>
        <w:spacing w:lineRule="auto" w:line="288" w:before="200" w:after="60"/>
        <w:jc w:val="both"/>
        <w:rPr/>
      </w:pPr>
      <w:r>
        <w:rPr>
          <w:rFonts w:ascii="Times New Roman;serif" w:hAnsi="Times New Roman;serif"/>
          <w:b w:val="false"/>
          <w:color w:val="000000"/>
          <w:sz w:val="20"/>
        </w:rPr>
        <w:t>On June 17, 2025, our Board of Directors authorized up to $400 million for share repurchases on or after September 1, 2025. On December 16, 2025, our Board of Directors approved an additional $600 million in share repurchase authority, which was available immediately with no expiration date. The additional authorization also removed the expiration date from the June 17, 2025 authorization. As of August 31, 2026, $356.0</w:t>
      </w:r>
      <w:r>
        <w:rPr>
          <w:color w:val="000000"/>
        </w:rPr>
        <w:t xml:space="preserve"> </w:t>
      </w:r>
      <w:r>
        <w:rPr>
          <w:rFonts w:ascii="Times New Roman;serif" w:hAnsi="Times New Roman;serif"/>
          <w:b w:val="false"/>
          <w:color w:val="000000"/>
          <w:sz w:val="20"/>
        </w:rPr>
        <w:t xml:space="preserve">million remained available under our share repurchase program.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addition to our share repurchase program, we also acquire shares of our common stock from holders of our stock-based awards to satisfy withholding tax requirements due at vesting. Shares acquired from these holders do not reduce the amount authorized for repurchase under the share repurchase program.</w:t>
      </w:r>
    </w:p>
    <w:p>
      <w:pPr>
        <w:pStyle w:val="TextBody"/>
        <w:bidi w:val="0"/>
        <w:spacing w:lineRule="auto" w:line="288" w:before="200" w:after="283"/>
        <w:jc w:val="both"/>
        <w:rPr/>
      </w:pPr>
      <w:r>
        <w:rPr>
          <w:rFonts w:ascii="Times New Roman;serif" w:hAnsi="Times New Roman;serif"/>
          <w:b w:val="false"/>
          <w:color w:val="000000"/>
          <w:sz w:val="20"/>
        </w:rPr>
        <w:t xml:space="preserve">Refer to Part II, Item 5. </w:t>
      </w:r>
      <w:r>
        <w:rPr>
          <w:rFonts w:ascii="Times New Roman;serif" w:hAnsi="Times New Roman;serif"/>
          <w:b w:val="false"/>
          <w:i/>
          <w:color w:val="000000"/>
          <w:sz w:val="20"/>
        </w:rPr>
        <w:t>Market For Registrant's Common Equity, Related Stockholder Matters and Issuer Purchases of Equity Securities</w:t>
      </w:r>
      <w:r>
        <w:rPr>
          <w:rFonts w:ascii="Times New Roman;serif" w:hAnsi="Times New Roman;serif"/>
          <w:b w:val="false"/>
          <w:color w:val="000000"/>
          <w:sz w:val="20"/>
        </w:rPr>
        <w:t>, of this Annual Report on Form 10-K for further discussion on our share repurchase program.</w:t>
      </w:r>
    </w:p>
    <w:p>
      <w:pPr>
        <w:pStyle w:val="TextBody"/>
        <w:bidi w:val="0"/>
        <w:spacing w:lineRule="auto" w:line="288" w:before="200" w:after="200"/>
        <w:jc w:val="both"/>
        <w:rPr>
          <w:rFonts w:ascii="Times New Roman;serif" w:hAnsi="Times New Roman;serif"/>
          <w:b/>
          <w:color w:val="000000"/>
          <w:sz w:val="20"/>
        </w:rPr>
      </w:pPr>
      <w:r>
        <w:rPr>
          <w:rFonts w:ascii="Times New Roman;serif" w:hAnsi="Times New Roman;serif"/>
          <w:b/>
          <w:color w:val="000000"/>
          <w:sz w:val="20"/>
        </w:rPr>
        <w:t>Equity-based Awards</w:t>
      </w:r>
    </w:p>
    <w:p>
      <w:pPr>
        <w:pStyle w:val="TextBody"/>
        <w:bidi w:val="0"/>
        <w:spacing w:lineRule="auto" w:line="288" w:before="0" w:after="0"/>
        <w:jc w:val="left"/>
        <w:rPr/>
      </w:pPr>
      <w:r>
        <w:rPr>
          <w:rFonts w:ascii="Times New Roman;serif" w:hAnsi="Times New Roman;serif"/>
          <w:b w:val="false"/>
          <w:color w:val="000000"/>
          <w:sz w:val="20"/>
        </w:rPr>
        <w:t xml:space="preserve">Refer to Note 14, </w:t>
      </w:r>
      <w:r>
        <w:rPr>
          <w:rFonts w:ascii="Times New Roman;serif" w:hAnsi="Times New Roman;serif"/>
          <w:b w:val="false"/>
          <w:i/>
          <w:color w:val="000000"/>
          <w:sz w:val="20"/>
        </w:rPr>
        <w:t>Stock-Based Compensation,</w:t>
      </w:r>
      <w:r>
        <w:rPr>
          <w:color w:val="000000"/>
        </w:rPr>
        <w:t xml:space="preserve"> </w:t>
      </w:r>
      <w:r>
        <w:rPr>
          <w:rFonts w:ascii="Times New Roman;serif" w:hAnsi="Times New Roman;serif"/>
          <w:b w:val="false"/>
          <w:color w:val="000000"/>
          <w:sz w:val="20"/>
        </w:rPr>
        <w:t xml:space="preserve">for more information on equity awards issued during fiscal 2024 through fiscal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Board of Directors approved the following dividends: </w:t>
      </w:r>
    </w:p>
    <w:tbl>
      <w:tblPr>
        <w:tblW w:w="8865" w:type="dxa"/>
        <w:jc w:val="left"/>
        <w:tblInd w:w="0" w:type="dxa"/>
        <w:tblLayout w:type="fixed"/>
        <w:tblCellMar>
          <w:top w:w="28" w:type="dxa"/>
          <w:left w:w="28" w:type="dxa"/>
          <w:bottom w:w="28" w:type="dxa"/>
          <w:right w:w="28" w:type="dxa"/>
        </w:tblCellMar>
      </w:tblPr>
      <w:tblGrid>
        <w:gridCol w:w="522"/>
        <w:gridCol w:w="457"/>
        <w:gridCol w:w="461"/>
        <w:gridCol w:w="109"/>
        <w:gridCol w:w="109"/>
        <w:gridCol w:w="109"/>
        <w:gridCol w:w="346"/>
        <w:gridCol w:w="838"/>
        <w:gridCol w:w="180"/>
        <w:gridCol w:w="109"/>
        <w:gridCol w:w="109"/>
        <w:gridCol w:w="109"/>
        <w:gridCol w:w="569"/>
        <w:gridCol w:w="569"/>
        <w:gridCol w:w="572"/>
        <w:gridCol w:w="109"/>
        <w:gridCol w:w="109"/>
        <w:gridCol w:w="109"/>
        <w:gridCol w:w="234"/>
        <w:gridCol w:w="919"/>
        <w:gridCol w:w="121"/>
        <w:gridCol w:w="109"/>
        <w:gridCol w:w="109"/>
        <w:gridCol w:w="109"/>
        <w:gridCol w:w="516"/>
        <w:gridCol w:w="516"/>
        <w:gridCol w:w="737"/>
      </w:tblGrid>
      <w:tr>
        <w:trPr/>
        <w:tc>
          <w:tcPr>
            <w:tcW w:w="522"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Dividends per</w:t>
              <w:br/>
              <w:t>Share of</w:t>
              <w:b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Total Amount</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Payment Date</w:t>
            </w:r>
          </w:p>
        </w:tc>
      </w:tr>
      <w:tr>
        <w:trPr/>
        <w:tc>
          <w:tcPr>
            <w:tcW w:w="14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40,969 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18, 2025</w:t>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27,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40,305 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19, 2026</w:t>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29,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18, 2026</w:t>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Fourth 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40,901 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17, 2026</w:t>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163,675 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29,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39,572 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19, 2024</w:t>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39,511 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20, 2025</w:t>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41,644 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18, 2025</w:t>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Fourth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18, 2025</w:t>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162,137 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37,299 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21, 2023</w:t>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29,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37,360 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21, 2024</w:t>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39,589 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20, 2024</w:t>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Fourth 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39,470 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19, 2024</w:t>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153,718 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the third quarter of fiscal 2026, our Board of Directors approved a 5% increase in the regular quarterly dividend from $1.10 to $1.16 per share. Future cash dividend payments are subject to final determination by our Board of Directors and will depend on our earnings, capital requirements, financial condition and other relevant factors.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Accumulated Other Comprehensive Loss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AOCL as of August 31, 2026 and August 31, 2025 were as follows:</w:t>
      </w:r>
    </w:p>
    <w:tbl>
      <w:tblPr>
        <w:tblW w:w="9041" w:type="dxa"/>
        <w:jc w:val="left"/>
        <w:tblInd w:w="0" w:type="dxa"/>
        <w:tblLayout w:type="fixed"/>
        <w:tblCellMar>
          <w:top w:w="28" w:type="dxa"/>
          <w:left w:w="28" w:type="dxa"/>
          <w:bottom w:w="28" w:type="dxa"/>
          <w:right w:w="28" w:type="dxa"/>
        </w:tblCellMar>
      </w:tblPr>
      <w:tblGrid>
        <w:gridCol w:w="2085"/>
        <w:gridCol w:w="1835"/>
        <w:gridCol w:w="1839"/>
        <w:gridCol w:w="275"/>
        <w:gridCol w:w="1038"/>
        <w:gridCol w:w="142"/>
        <w:gridCol w:w="109"/>
        <w:gridCol w:w="109"/>
        <w:gridCol w:w="109"/>
        <w:gridCol w:w="272"/>
        <w:gridCol w:w="1029"/>
        <w:gridCol w:w="199"/>
      </w:tblGrid>
      <w:tr>
        <w:trPr/>
        <w:tc>
          <w:tcPr>
            <w:tcW w:w="2085"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2025</w:t>
            </w:r>
          </w:p>
        </w:tc>
      </w:tr>
      <w:tr>
        <w:trPr/>
        <w:tc>
          <w:tcPr>
            <w:tcW w:w="575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unrealized gains (losses) on cash flow hedges, net of tax</w:t>
            </w:r>
          </w:p>
        </w:tc>
        <w:tc>
          <w:tcPr>
            <w:tcW w:w="27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w:t>
            </w:r>
          </w:p>
        </w:tc>
        <w:tc>
          <w:tcPr>
            <w:tcW w:w="142"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2,143 </w:t>
            </w:r>
          </w:p>
        </w:tc>
        <w:tc>
          <w:tcPr>
            <w:tcW w:w="19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post-employment benefit obligations, net of tax</w:t>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foreign currency translation adjustments</w:t>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(71,849)</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(65,891)</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AOCL</w:t>
            </w:r>
          </w:p>
        </w:tc>
        <w:tc>
          <w:tcPr>
            <w:tcW w:w="275"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(78,455)</w:t>
            </w:r>
          </w:p>
        </w:tc>
        <w:tc>
          <w:tcPr>
            <w:tcW w:w="142"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(63,748)</w:t>
            </w:r>
          </w:p>
        </w:tc>
        <w:tc>
          <w:tcPr>
            <w:tcW w:w="19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4"/>
        </w:rPr>
      </w:pPr>
      <w:r>
        <w:rPr>
          <w:rFonts w:ascii="Times New Roman;serif" w:hAnsi="Times New Roman;serif"/>
          <w:b/>
          <w:color w:val="000000"/>
          <w:sz w:val="24"/>
        </w:rPr>
        <w:t>13. EARNINGS PER SHARE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Basic earnings per common share ("Basic EPS") is computed by dividing net income by the number of weighted average common shares outstanding during the fiscal year. Diluted earnings per common share ("Diluted EPS") is calculated by using the treasury stock method which assumes the issuance of common stock for all potentially dilutive stock-based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is a reconciliation of our Basic and Diluted EPS computations:</w:t>
      </w:r>
    </w:p>
    <w:tbl>
      <w:tblPr>
        <w:tblW w:w="9782" w:type="dxa"/>
        <w:jc w:val="left"/>
        <w:tblInd w:w="0" w:type="dxa"/>
        <w:tblLayout w:type="fixed"/>
        <w:tblCellMar>
          <w:top w:w="28" w:type="dxa"/>
          <w:left w:w="28" w:type="dxa"/>
          <w:bottom w:w="28" w:type="dxa"/>
          <w:right w:w="28" w:type="dxa"/>
        </w:tblCellMar>
      </w:tblPr>
      <w:tblGrid>
        <w:gridCol w:w="2279"/>
        <w:gridCol w:w="2004"/>
        <w:gridCol w:w="2016"/>
        <w:gridCol w:w="211"/>
        <w:gridCol w:w="826"/>
        <w:gridCol w:w="109"/>
        <w:gridCol w:w="211"/>
        <w:gridCol w:w="826"/>
        <w:gridCol w:w="109"/>
        <w:gridCol w:w="211"/>
        <w:gridCol w:w="826"/>
        <w:gridCol w:w="154"/>
      </w:tblGrid>
      <w:tr>
        <w:trPr/>
        <w:tc>
          <w:tcPr>
            <w:tcW w:w="2279"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 Ended August 31,</w:t>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 share data)</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62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used for calculating Basic EPS and Diluted EPS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537,126 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used in the calculation of Basic EPS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equivalents associated with stock-based compensation plans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the calculation of Diluted EPS</w:t>
            </w:r>
          </w:p>
        </w:tc>
        <w:tc>
          <w:tcPr>
            <w:tcW w:w="10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36,612 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38,385 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38,618 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EPS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EPS</w:t>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13.91 </w:t>
            </w:r>
          </w:p>
        </w:tc>
        <w:tc>
          <w:tcPr>
            <w:tcW w:w="15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potential common shares that were excluded from Diluted EPS as they relate to stock-based awards that were antidilutive or subject to performance conditions which have not been satisfied by the end of each fiscal year:</w:t>
      </w:r>
    </w:p>
    <w:tbl>
      <w:tblPr>
        <w:tblW w:w="4748" w:type="dxa"/>
        <w:jc w:val="left"/>
        <w:tblInd w:w="0" w:type="dxa"/>
        <w:tblLayout w:type="fixed"/>
        <w:tblCellMar>
          <w:top w:w="28" w:type="dxa"/>
          <w:left w:w="28" w:type="dxa"/>
          <w:bottom w:w="28" w:type="dxa"/>
          <w:right w:w="28" w:type="dxa"/>
        </w:tblCellMar>
      </w:tblPr>
      <w:tblGrid>
        <w:gridCol w:w="760"/>
        <w:gridCol w:w="669"/>
        <w:gridCol w:w="671"/>
        <w:gridCol w:w="109"/>
        <w:gridCol w:w="109"/>
        <w:gridCol w:w="109"/>
        <w:gridCol w:w="329"/>
        <w:gridCol w:w="287"/>
        <w:gridCol w:w="223"/>
        <w:gridCol w:w="249"/>
        <w:gridCol w:w="223"/>
        <w:gridCol w:w="223"/>
        <w:gridCol w:w="249"/>
        <w:gridCol w:w="223"/>
        <w:gridCol w:w="315"/>
      </w:tblGrid>
      <w:tr>
        <w:trPr/>
        <w:tc>
          <w:tcPr>
            <w:tcW w:w="76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 Ended August 31,</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21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1,599 </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Stock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4"/>
        </w:rPr>
      </w:pPr>
      <w:r>
        <w:rPr>
          <w:rFonts w:ascii="Times New Roman;serif" w:hAnsi="Times New Roman;serif"/>
          <w:b/>
          <w:color w:val="000000"/>
          <w:sz w:val="24"/>
        </w:rPr>
        <w:t>14. STOCK-BASED COMPENSATION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stockholders approved the FactSet Research Systems Inc. 2025 Omnibus Incentive Plan (the "Omnibus Plan") on December 18, 2025. The Omnibus Plan replaced both the FactSet Research Systems Inc. Stock Option and Award Plan, as Amended and Restated and the FactSet Research Systems Inc. Non-Employee Directors’ Stock Option and Award Plan, as Amended and Restated.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September 1, 2025, the FactSet Research Systems Inc. 2025 Employee Stock Purchase Plan replaced the FactSet Research Systems Inc. 2008 Employee Stock Purchase Plan, as Amended and Restated.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stock-based compensation expense consists of: (i) stock options, (ii) PSOs issued to our CEO, (iii) RSUs, (iv) PSUs, and (v) common stock purchased by eligible employees under our ESPP.</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Stock-based Compensation Expense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stock-based compensation expense for the fiscal years presented:</w:t>
      </w:r>
    </w:p>
    <w:tbl>
      <w:tblPr>
        <w:tblW w:w="6495" w:type="dxa"/>
        <w:jc w:val="left"/>
        <w:tblInd w:w="0" w:type="dxa"/>
        <w:tblLayout w:type="fixed"/>
        <w:tblCellMar>
          <w:top w:w="28" w:type="dxa"/>
          <w:left w:w="28" w:type="dxa"/>
          <w:bottom w:w="28" w:type="dxa"/>
          <w:right w:w="28" w:type="dxa"/>
        </w:tblCellMar>
      </w:tblPr>
      <w:tblGrid>
        <w:gridCol w:w="1087"/>
        <w:gridCol w:w="955"/>
        <w:gridCol w:w="958"/>
        <w:gridCol w:w="109"/>
        <w:gridCol w:w="109"/>
        <w:gridCol w:w="109"/>
        <w:gridCol w:w="211"/>
        <w:gridCol w:w="721"/>
        <w:gridCol w:w="109"/>
        <w:gridCol w:w="211"/>
        <w:gridCol w:w="721"/>
        <w:gridCol w:w="109"/>
        <w:gridCol w:w="211"/>
        <w:gridCol w:w="721"/>
        <w:gridCol w:w="154"/>
      </w:tblGrid>
      <w:tr>
        <w:trPr/>
        <w:tc>
          <w:tcPr>
            <w:tcW w:w="1087"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 Ended August 31,</w:t>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(in thousands)</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00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84,099 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61,229 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63,501 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There were no stock-based compensation costs capitalized during fiscal 2024 through fiscal 2026. As of August 31, 2026, $147.2 million of total unrecognized stock-based compensation expense related to non-vested stock-based awards is expected to be recognized over the remaining weighted average vesting period of 2.6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Stock Option Awards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 summary of stock option activity for employee and non-employee directors is as follows:</w:t>
      </w:r>
    </w:p>
    <w:tbl>
      <w:tblPr>
        <w:tblW w:w="10205" w:type="dxa"/>
        <w:jc w:val="left"/>
        <w:tblInd w:w="0" w:type="dxa"/>
        <w:tblLayout w:type="fixed"/>
        <w:tblCellMar>
          <w:top w:w="28" w:type="dxa"/>
          <w:left w:w="28" w:type="dxa"/>
          <w:bottom w:w="28" w:type="dxa"/>
          <w:right w:w="28" w:type="dxa"/>
        </w:tblCellMar>
      </w:tblPr>
      <w:tblGrid>
        <w:gridCol w:w="1070"/>
        <w:gridCol w:w="769"/>
        <w:gridCol w:w="774"/>
        <w:gridCol w:w="589"/>
        <w:gridCol w:w="589"/>
        <w:gridCol w:w="591"/>
        <w:gridCol w:w="289"/>
        <w:gridCol w:w="990"/>
        <w:gridCol w:w="149"/>
        <w:gridCol w:w="109"/>
        <w:gridCol w:w="460"/>
        <w:gridCol w:w="1115"/>
        <w:gridCol w:w="239"/>
        <w:gridCol w:w="721"/>
        <w:gridCol w:w="721"/>
        <w:gridCol w:w="1030"/>
      </w:tblGrid>
      <w:tr>
        <w:trPr/>
        <w:tc>
          <w:tcPr>
            <w:tcW w:w="1070"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r>
      <w:tr>
        <w:trPr/>
        <w:tc>
          <w:tcPr>
            <w:tcW w:w="2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Number Outstanding </w:t>
            </w:r>
            <w:r>
              <w:rPr>
                <w:rFonts w:ascii="Times New Roman;serif" w:hAnsi="Times New Roman;serif"/>
                <w:b w:val="false"/>
                <w:i/>
                <w:color w:val="000000"/>
                <w:sz w:val="20"/>
              </w:rPr>
              <w:t>(thousands)</w:t>
            </w:r>
          </w:p>
        </w:tc>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w:t>
              <w:br/>
              <w:t>Exercise Price Per Share</w:t>
            </w:r>
          </w:p>
        </w:tc>
        <w:tc>
          <w:tcPr>
            <w:tcW w:w="109" w:type="dxa"/>
            <w:tcBorders/>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Aggregate Intrinsic Value </w:t>
            </w:r>
            <w:r>
              <w:rPr>
                <w:rFonts w:ascii="Times New Roman;serif" w:hAnsi="Times New Roman;serif"/>
                <w:b w:val="false"/>
                <w:i/>
                <w:color w:val="000000"/>
                <w:sz w:val="20"/>
              </w:rPr>
              <w:t>(millions)</w:t>
            </w:r>
            <w:r>
              <w:rPr>
                <w:rFonts w:ascii="Times New Roman;serif" w:hAnsi="Times New Roman;serif"/>
                <w:b w:val="false"/>
                <w:color w:val="000000"/>
                <w:sz w:val="13"/>
              </w:rPr>
              <w:t>(1)</w:t>
            </w:r>
          </w:p>
        </w:tc>
        <w:tc>
          <w:tcPr>
            <w:tcW w:w="24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Weighted Average Remaining Contractual Life </w:t>
            </w:r>
            <w:r>
              <w:rPr>
                <w:rFonts w:ascii="Times New Roman;serif" w:hAnsi="Times New Roman;serif"/>
                <w:b w:val="false"/>
                <w:i/>
                <w:color w:val="000000"/>
                <w:sz w:val="20"/>
              </w:rPr>
              <w:t>(years)</w:t>
            </w:r>
          </w:p>
        </w:tc>
      </w:tr>
      <w:tr>
        <w:trPr/>
        <w:tc>
          <w:tcPr>
            <w:tcW w:w="2613"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2472" w:type="dxa"/>
            <w:gridSpan w:val="3"/>
            <w:tcBorders/>
            <w:vAlign w:val="center"/>
          </w:tcPr>
          <w:p>
            <w:pPr>
              <w:pStyle w:val="TableContents"/>
              <w:bidi w:val="0"/>
              <w:spacing w:before="0" w:after="283"/>
              <w:jc w:val="left"/>
              <w:rPr>
                <w:sz w:val="4"/>
                <w:szCs w:val="4"/>
              </w:rPr>
            </w:pPr>
            <w:r>
              <w:rPr>
                <w:sz w:val="4"/>
                <w:szCs w:val="4"/>
              </w:rPr>
            </w:r>
          </w:p>
        </w:tc>
      </w:tr>
      <w:tr>
        <w:trPr/>
        <w:tc>
          <w:tcPr>
            <w:tcW w:w="2613"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2472" w:type="dxa"/>
            <w:gridSpan w:val="3"/>
            <w:tcBorders/>
            <w:vAlign w:val="center"/>
          </w:tcPr>
          <w:p>
            <w:pPr>
              <w:pStyle w:val="TableContents"/>
              <w:bidi w:val="0"/>
              <w:spacing w:before="0" w:after="283"/>
              <w:jc w:val="left"/>
              <w:rPr>
                <w:sz w:val="4"/>
                <w:szCs w:val="4"/>
              </w:rPr>
            </w:pPr>
            <w:r>
              <w:rPr>
                <w:sz w:val="4"/>
                <w:szCs w:val="4"/>
              </w:rPr>
            </w:r>
          </w:p>
        </w:tc>
      </w:tr>
      <w:tr>
        <w:trPr/>
        <w:tc>
          <w:tcPr>
            <w:tcW w:w="2613"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2472" w:type="dxa"/>
            <w:gridSpan w:val="3"/>
            <w:tcBorders/>
            <w:vAlign w:val="center"/>
          </w:tcPr>
          <w:p>
            <w:pPr>
              <w:pStyle w:val="TableContents"/>
              <w:bidi w:val="0"/>
              <w:spacing w:before="0" w:after="283"/>
              <w:jc w:val="left"/>
              <w:rPr>
                <w:sz w:val="4"/>
                <w:szCs w:val="4"/>
              </w:rPr>
            </w:pPr>
            <w:r>
              <w:rPr>
                <w:sz w:val="4"/>
                <w:szCs w:val="4"/>
              </w:rPr>
            </w:r>
          </w:p>
        </w:tc>
      </w:tr>
      <w:tr>
        <w:trPr/>
        <w:tc>
          <w:tcPr>
            <w:tcW w:w="2613"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2472" w:type="dxa"/>
            <w:gridSpan w:val="3"/>
            <w:tcBorders/>
            <w:vAlign w:val="center"/>
          </w:tcPr>
          <w:p>
            <w:pPr>
              <w:pStyle w:val="TableContents"/>
              <w:bidi w:val="0"/>
              <w:spacing w:before="0" w:after="283"/>
              <w:jc w:val="left"/>
              <w:rPr>
                <w:sz w:val="4"/>
                <w:szCs w:val="4"/>
              </w:rPr>
            </w:pPr>
            <w:r>
              <w:rPr>
                <w:sz w:val="4"/>
                <w:szCs w:val="4"/>
              </w:rPr>
            </w:r>
          </w:p>
        </w:tc>
      </w:tr>
      <w:tr>
        <w:trPr/>
        <w:tc>
          <w:tcPr>
            <w:tcW w:w="2613"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2472" w:type="dxa"/>
            <w:gridSpan w:val="3"/>
            <w:tcBorders/>
            <w:vAlign w:val="center"/>
          </w:tcPr>
          <w:p>
            <w:pPr>
              <w:pStyle w:val="TableContents"/>
              <w:bidi w:val="0"/>
              <w:spacing w:before="0" w:after="283"/>
              <w:jc w:val="left"/>
              <w:rPr>
                <w:sz w:val="4"/>
                <w:szCs w:val="4"/>
              </w:rPr>
            </w:pPr>
            <w:r>
              <w:rPr>
                <w:sz w:val="4"/>
                <w:szCs w:val="4"/>
              </w:rPr>
            </w:r>
          </w:p>
        </w:tc>
      </w:tr>
      <w:tr>
        <w:trPr/>
        <w:tc>
          <w:tcPr>
            <w:tcW w:w="2613"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2472" w:type="dxa"/>
            <w:gridSpan w:val="3"/>
            <w:tcBorders/>
            <w:vAlign w:val="center"/>
          </w:tcPr>
          <w:p>
            <w:pPr>
              <w:pStyle w:val="TableContents"/>
              <w:bidi w:val="0"/>
              <w:spacing w:before="0" w:after="283"/>
              <w:jc w:val="left"/>
              <w:rPr>
                <w:sz w:val="4"/>
                <w:szCs w:val="4"/>
              </w:rPr>
            </w:pPr>
            <w:r>
              <w:rPr>
                <w:sz w:val="4"/>
                <w:szCs w:val="4"/>
              </w:rPr>
            </w:r>
          </w:p>
        </w:tc>
      </w:tr>
      <w:tr>
        <w:trPr/>
        <w:tc>
          <w:tcPr>
            <w:tcW w:w="2613"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2472" w:type="dxa"/>
            <w:gridSpan w:val="3"/>
            <w:tcBorders/>
            <w:vAlign w:val="center"/>
          </w:tcPr>
          <w:p>
            <w:pPr>
              <w:pStyle w:val="TableContents"/>
              <w:bidi w:val="0"/>
              <w:spacing w:before="0" w:after="283"/>
              <w:jc w:val="left"/>
              <w:rPr>
                <w:sz w:val="4"/>
                <w:szCs w:val="4"/>
              </w:rPr>
            </w:pPr>
            <w:r>
              <w:rPr>
                <w:sz w:val="4"/>
                <w:szCs w:val="4"/>
              </w:rPr>
            </w:r>
          </w:p>
        </w:tc>
      </w:tr>
      <w:tr>
        <w:trPr/>
        <w:tc>
          <w:tcPr>
            <w:tcW w:w="2613"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2472" w:type="dxa"/>
            <w:gridSpan w:val="3"/>
            <w:tcBorders/>
            <w:vAlign w:val="center"/>
          </w:tcPr>
          <w:p>
            <w:pPr>
              <w:pStyle w:val="TableContents"/>
              <w:bidi w:val="0"/>
              <w:spacing w:before="0" w:after="283"/>
              <w:jc w:val="left"/>
              <w:rPr>
                <w:sz w:val="4"/>
                <w:szCs w:val="4"/>
              </w:rPr>
            </w:pPr>
            <w:r>
              <w:rPr>
                <w:sz w:val="4"/>
                <w:szCs w:val="4"/>
              </w:rPr>
            </w:r>
          </w:p>
        </w:tc>
      </w:tr>
      <w:tr>
        <w:trPr/>
        <w:tc>
          <w:tcPr>
            <w:tcW w:w="2613"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2472" w:type="dxa"/>
            <w:gridSpan w:val="3"/>
            <w:tcBorders/>
            <w:vAlign w:val="center"/>
          </w:tcPr>
          <w:p>
            <w:pPr>
              <w:pStyle w:val="TableContents"/>
              <w:bidi w:val="0"/>
              <w:spacing w:before="0" w:after="283"/>
              <w:jc w:val="left"/>
              <w:rPr>
                <w:sz w:val="4"/>
                <w:szCs w:val="4"/>
              </w:rPr>
            </w:pPr>
            <w:r>
              <w:rPr>
                <w:sz w:val="4"/>
                <w:szCs w:val="4"/>
              </w:rPr>
            </w:r>
          </w:p>
        </w:tc>
      </w:tr>
      <w:tr>
        <w:trPr/>
        <w:tc>
          <w:tcPr>
            <w:tcW w:w="2613"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2472" w:type="dxa"/>
            <w:gridSpan w:val="3"/>
            <w:tcBorders/>
            <w:vAlign w:val="center"/>
          </w:tcPr>
          <w:p>
            <w:pPr>
              <w:pStyle w:val="TableContents"/>
              <w:bidi w:val="0"/>
              <w:spacing w:before="0" w:after="283"/>
              <w:jc w:val="left"/>
              <w:rPr>
                <w:sz w:val="4"/>
                <w:szCs w:val="4"/>
              </w:rPr>
            </w:pPr>
            <w:r>
              <w:rPr>
                <w:sz w:val="4"/>
                <w:szCs w:val="4"/>
              </w:rPr>
            </w:r>
          </w:p>
        </w:tc>
      </w:tr>
      <w:tr>
        <w:trPr/>
        <w:tc>
          <w:tcPr>
            <w:tcW w:w="2613"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2472" w:type="dxa"/>
            <w:gridSpan w:val="3"/>
            <w:tcBorders/>
            <w:vAlign w:val="center"/>
          </w:tcPr>
          <w:p>
            <w:pPr>
              <w:pStyle w:val="TableContents"/>
              <w:bidi w:val="0"/>
              <w:spacing w:before="0" w:after="283"/>
              <w:jc w:val="left"/>
              <w:rPr>
                <w:sz w:val="4"/>
                <w:szCs w:val="4"/>
              </w:rPr>
            </w:pPr>
            <w:r>
              <w:rPr>
                <w:sz w:val="4"/>
                <w:szCs w:val="4"/>
              </w:rPr>
            </w:r>
          </w:p>
        </w:tc>
      </w:tr>
      <w:tr>
        <w:trPr/>
        <w:tc>
          <w:tcPr>
            <w:tcW w:w="2613"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2472" w:type="dxa"/>
            <w:gridSpan w:val="3"/>
            <w:tcBorders/>
            <w:vAlign w:val="center"/>
          </w:tcPr>
          <w:p>
            <w:pPr>
              <w:pStyle w:val="TableContents"/>
              <w:bidi w:val="0"/>
              <w:spacing w:before="0" w:after="283"/>
              <w:jc w:val="left"/>
              <w:rPr>
                <w:sz w:val="4"/>
                <w:szCs w:val="4"/>
              </w:rPr>
            </w:pPr>
            <w:r>
              <w:rPr>
                <w:sz w:val="4"/>
                <w:szCs w:val="4"/>
              </w:rPr>
            </w:r>
          </w:p>
        </w:tc>
      </w:tr>
      <w:tr>
        <w:trPr/>
        <w:tc>
          <w:tcPr>
            <w:tcW w:w="2613"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August 31, 2025</w:t>
            </w:r>
          </w:p>
        </w:tc>
        <w:tc>
          <w:tcPr>
            <w:tcW w:w="117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1,685 </w:t>
            </w:r>
          </w:p>
        </w:tc>
        <w:tc>
          <w:tcPr>
            <w:tcW w:w="59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347.50 </w:t>
            </w:r>
          </w:p>
        </w:tc>
        <w:tc>
          <w:tcPr>
            <w:tcW w:w="14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 – employees</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Granted – CEO PSOs</w:t>
            </w:r>
            <w:r>
              <w:rPr>
                <w:rFonts w:ascii="Times New Roman;serif" w:hAnsi="Times New Roman;serif"/>
                <w:b w:val="false"/>
                <w:color w:val="000000"/>
                <w:sz w:val="13"/>
              </w:rPr>
              <w:t>(2)</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295.63 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Granted – non-employee directors</w:t>
            </w:r>
            <w:r>
              <w:rPr>
                <w:rFonts w:ascii="Times New Roman;serif" w:hAnsi="Times New Roman;serif"/>
                <w:b w:val="false"/>
                <w:color w:val="000000"/>
                <w:sz w:val="13"/>
              </w:rPr>
              <w:t>(3)</w:t>
            </w:r>
          </w:p>
        </w:tc>
        <w:tc>
          <w:tcPr>
            <w:tcW w:w="11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289.68 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Exercised</w:t>
            </w:r>
            <w:r>
              <w:rPr>
                <w:rFonts w:ascii="Times New Roman;serif" w:hAnsi="Times New Roman;serif"/>
                <w:b w:val="false"/>
                <w:color w:val="000000"/>
                <w:sz w:val="13"/>
              </w:rPr>
              <w:t>(4)</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1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5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333.71 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Outstanding as of August 31, 2026</w:t>
            </w:r>
            <w:r>
              <w:rPr>
                <w:rFonts w:ascii="Times New Roman;serif" w:hAnsi="Times New Roman;serif"/>
                <w:b w:val="false"/>
                <w:color w:val="000000"/>
                <w:sz w:val="13"/>
              </w:rPr>
              <w:t>(5)</w:t>
            </w:r>
          </w:p>
        </w:tc>
        <w:tc>
          <w:tcPr>
            <w:tcW w:w="117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1,915 </w:t>
            </w:r>
          </w:p>
        </w:tc>
        <w:tc>
          <w:tcPr>
            <w:tcW w:w="59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340.43 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r>
      <w:tr>
        <w:trPr/>
        <w:tc>
          <w:tcPr>
            <w:tcW w:w="2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vested and exercisable as of August 31, 2026</w:t>
            </w:r>
          </w:p>
        </w:tc>
        <w:tc>
          <w:tcPr>
            <w:tcW w:w="11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5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332.25 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r>
      <w:tr>
        <w:trPr/>
        <w:tc>
          <w:tcPr>
            <w:tcW w:w="26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Options expected to vest as of August 31, 2026</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r>
    </w:tbl>
    <w:p>
      <w:pPr>
        <w:pStyle w:val="TextBody"/>
        <w:bidi w:val="0"/>
        <w:spacing w:lineRule="auto" w:line="288" w:before="60" w:after="6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 xml:space="preserve">(1)The aggregate intrinsic value represents the difference between our closing stock price as of August 31, 2026 of $313.55 and the exercise price, multiplied by the number of options exercisable as of that date. </w:t>
      </w:r>
    </w:p>
    <w:p>
      <w:pPr>
        <w:pStyle w:val="TextBody"/>
        <w:bidi w:val="0"/>
        <w:spacing w:lineRule="auto" w:line="288" w:before="60" w:after="60"/>
        <w:ind w:left="0" w:right="0" w:hanging="270"/>
        <w:jc w:val="both"/>
        <w:rPr/>
      </w:pPr>
      <w:r>
        <w:rPr>
          <w:rFonts w:ascii="Times New Roman;serif" w:hAnsi="Times New Roman;serif"/>
          <w:b w:val="false"/>
          <w:color w:val="000000"/>
          <w:sz w:val="18"/>
        </w:rPr>
        <w:t xml:space="preserve">(2)Reflects a one-time grant of PSOs to our CEO. Refer to </w:t>
      </w:r>
      <w:r>
        <w:rPr>
          <w:rFonts w:ascii="Times New Roman;serif" w:hAnsi="Times New Roman;serif"/>
          <w:b w:val="false"/>
          <w:i/>
          <w:color w:val="000000"/>
          <w:sz w:val="18"/>
        </w:rPr>
        <w:t>CEO Performance Stock Option Awards</w:t>
      </w:r>
      <w:r>
        <w:rPr>
          <w:color w:val="000000"/>
        </w:rPr>
        <w:t xml:space="preserve"> </w:t>
      </w:r>
      <w:r>
        <w:rPr>
          <w:rFonts w:ascii="Times New Roman;serif" w:hAnsi="Times New Roman;serif"/>
          <w:b w:val="false"/>
          <w:color w:val="000000"/>
          <w:sz w:val="18"/>
        </w:rPr>
        <w:t>within this section below, for more information.</w:t>
      </w:r>
    </w:p>
    <w:p>
      <w:pPr>
        <w:pStyle w:val="TextBody"/>
        <w:bidi w:val="0"/>
        <w:spacing w:lineRule="auto" w:line="288" w:before="60" w:after="6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(3)The non-employee directors weighted average grant date fair value of stock options granted during fiscal 2026, 2025 and 2024 was $69.88, $144.90 and $132.78, respectively.</w:t>
      </w:r>
    </w:p>
    <w:p>
      <w:pPr>
        <w:pStyle w:val="TextBody"/>
        <w:bidi w:val="0"/>
        <w:spacing w:lineRule="auto" w:line="288" w:before="0" w:after="6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(4)The total pre-tax intrinsic value of stock options exercised during fiscal 2026, 2025 and 2024 was $9.2 million, $66.5 million and $89.5 million, respectively.</w:t>
      </w:r>
    </w:p>
    <w:p>
      <w:pPr>
        <w:pStyle w:val="TextBody"/>
        <w:bidi w:val="0"/>
        <w:spacing w:lineRule="auto" w:line="288" w:before="0" w:after="20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(5)As of August 31, 2026, 908,564 of our total outstanding stock options were unvested, resulting in unamortized stock-based compensation expense of $52.5 million that is expected to be recognized over the remaining weighted average vesting period of 2.4 years.</w:t>
      </w:r>
    </w:p>
    <w:p>
      <w:pPr>
        <w:pStyle w:val="TextBody"/>
        <w:bidi w:val="0"/>
        <w:spacing w:lineRule="auto" w:line="288" w:before="200" w:after="60"/>
        <w:jc w:val="both"/>
        <w:rPr>
          <w:rFonts w:ascii="Times New Roman;serif" w:hAnsi="Times New Roman;serif"/>
          <w:b w:val="false"/>
          <w:color w:val="000000"/>
          <w:sz w:val="20"/>
        </w:rPr>
      </w:pPr>
      <w:r>
        <w:rPr>
          <w:rFonts w:ascii="Times New Roman;serif" w:hAnsi="Times New Roman;serif"/>
          <w:b w:val="false"/>
          <w:color w:val="000000"/>
          <w:sz w:val="20"/>
        </w:rPr>
        <w:t xml:space="preserve">During fiscal 2026, 2025 and 2024, the total fair value of stock options vested was $25.1 million, $23.2 million and $20.5 million, respectively. </w:t>
      </w:r>
    </w:p>
    <w:p>
      <w:pPr>
        <w:pStyle w:val="TextBody"/>
        <w:bidi w:val="0"/>
        <w:spacing w:lineRule="auto" w:line="288" w:before="200" w:after="60"/>
        <w:jc w:val="both"/>
        <w:rPr>
          <w:rFonts w:ascii="Times New Roman;serif" w:hAnsi="Times New Roman;serif"/>
          <w:b/>
          <w:i/>
          <w:color w:val="000000"/>
          <w:sz w:val="20"/>
        </w:rPr>
      </w:pPr>
      <w:r>
        <w:rPr>
          <w:rFonts w:ascii="Times New Roman;serif" w:hAnsi="Times New Roman;serif"/>
          <w:b/>
          <w:i/>
          <w:color w:val="000000"/>
          <w:sz w:val="20"/>
        </w:rPr>
        <w:t>Employee Stock Option Awards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annual grant of employee stock options during the first quarter of each fiscal year makes up the majority of our employee stock options granted in each fiscal year. The following table presents the weighted average inputs used in the lattice model to estimate the grant-date fair value of the employee stock options granted:</w:t>
      </w:r>
    </w:p>
    <w:tbl>
      <w:tblPr>
        <w:tblW w:w="7395" w:type="dxa"/>
        <w:jc w:val="left"/>
        <w:tblInd w:w="0" w:type="dxa"/>
        <w:tblLayout w:type="fixed"/>
        <w:tblCellMar>
          <w:top w:w="28" w:type="dxa"/>
          <w:left w:w="28" w:type="dxa"/>
          <w:bottom w:w="28" w:type="dxa"/>
          <w:right w:w="28" w:type="dxa"/>
        </w:tblCellMar>
      </w:tblPr>
      <w:tblGrid>
        <w:gridCol w:w="1245"/>
        <w:gridCol w:w="1091"/>
        <w:gridCol w:w="1099"/>
        <w:gridCol w:w="289"/>
        <w:gridCol w:w="289"/>
        <w:gridCol w:w="727"/>
        <w:gridCol w:w="289"/>
        <w:gridCol w:w="289"/>
        <w:gridCol w:w="727"/>
        <w:gridCol w:w="273"/>
        <w:gridCol w:w="273"/>
        <w:gridCol w:w="804"/>
      </w:tblGrid>
      <w:tr>
        <w:trPr/>
        <w:tc>
          <w:tcPr>
            <w:tcW w:w="1245"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343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Stock options granted</w:t>
            </w:r>
            <w:r>
              <w:rPr>
                <w:rFonts w:ascii="Times New Roman;serif" w:hAnsi="Times New Roman;serif"/>
                <w:b w:val="false"/>
                <w:color w:val="000000"/>
                <w:sz w:val="13"/>
              </w:rPr>
              <w:t>(1)</w:t>
            </w:r>
          </w:p>
        </w:tc>
        <w:tc>
          <w:tcPr>
            <w:tcW w:w="130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232,567</w:t>
            </w:r>
          </w:p>
        </w:tc>
        <w:tc>
          <w:tcPr>
            <w:tcW w:w="130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203,114</w:t>
            </w:r>
          </w:p>
        </w:tc>
        <w:tc>
          <w:tcPr>
            <w:tcW w:w="135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243,379</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3.61% - 4.48%</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4.31% - 4.87%</w:t>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3.78% - 5.53%</w:t>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(years)</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27% - 31%</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23% - 25%</w:t>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19% - 25%</w:t>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0.95 </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0.90 </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Grant Date Fair Value</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$75.40</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$133.21</w:t>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$132.59</w:t>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(1) Includes the annual employee grant on November 3, 2025, November 1, 2024 and November 1, 2023 of 213,811, 200,693 and 242,371 stock options, respectively. The majority of the stock options granted during fiscal 2026, including the annual employee grant, vest 25% annually on the anniversary date of the grant and are fully vested after four years, expiring ten years from the date of grant. The majority of the stock options granted during fiscal 2025 and 2024, including the annual employee grants, vest 20% annually on the anniversary date of the grant and are fully vested after five years, expiring ten years from the date of grant.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60"/>
        <w:jc w:val="both"/>
        <w:rPr>
          <w:rFonts w:ascii="Times New Roman;serif" w:hAnsi="Times New Roman;serif"/>
          <w:b/>
          <w:i/>
          <w:color w:val="000000"/>
          <w:sz w:val="20"/>
        </w:rPr>
      </w:pPr>
      <w:r>
        <w:rPr>
          <w:rFonts w:ascii="Times New Roman;serif" w:hAnsi="Times New Roman;serif"/>
          <w:b/>
          <w:i/>
          <w:color w:val="000000"/>
          <w:sz w:val="20"/>
        </w:rPr>
        <w:t>CEO Performance Stock Option Awards</w:t>
      </w:r>
    </w:p>
    <w:p>
      <w:pPr>
        <w:pStyle w:val="TextBody"/>
        <w:bidi w:val="0"/>
        <w:spacing w:lineRule="auto" w:line="288" w:before="60" w:after="60"/>
        <w:jc w:val="both"/>
        <w:rPr/>
      </w:pPr>
      <w:r>
        <w:rPr>
          <w:rFonts w:ascii="Times New Roman;serif" w:hAnsi="Times New Roman;serif"/>
          <w:b w:val="false"/>
          <w:color w:val="000000"/>
          <w:sz w:val="20"/>
        </w:rPr>
        <w:t xml:space="preserve">On September 22, 2025, we granted PSOs to our CEO, as part of his May 28, 2025 employment agreement. The PSOs vest if, during the performance period ending on the fifth anniversary of the grant date, our common stock achieves a 30-day trailing volume-weighted average price ("VWAP") equal to or greater than 150% of the 30-day trailing VWAP ending on the grant date. Options are not exercisable before the third anniversary of the grant date. These options expire </w:t>
      </w:r>
      <w:r>
        <w:rPr>
          <w:rFonts w:ascii="Times New Roman;serif" w:hAnsi="Times New Roman;serif"/>
          <w:b w:val="false"/>
          <w:color w:val="000000"/>
          <w:sz w:val="18"/>
        </w:rPr>
        <w:t>10 years</w:t>
      </w:r>
      <w:r>
        <w:rPr>
          <w:color w:val="000000"/>
        </w:rPr>
        <w:t xml:space="preserve"> </w:t>
      </w:r>
      <w:r>
        <w:rPr>
          <w:rFonts w:ascii="Times New Roman;serif" w:hAnsi="Times New Roman;serif"/>
          <w:b w:val="false"/>
          <w:color w:val="000000"/>
          <w:sz w:val="20"/>
        </w:rPr>
        <w:t xml:space="preserve">from the grant date. We used the Monte Carlo model to estimate the grant date fair value of the September 22, 2025 CEO PSO grant. The following table presents the grant information and model assumptions: </w:t>
      </w:r>
    </w:p>
    <w:tbl>
      <w:tblPr>
        <w:tblW w:w="3934" w:type="dxa"/>
        <w:jc w:val="left"/>
        <w:tblInd w:w="0" w:type="dxa"/>
        <w:tblLayout w:type="fixed"/>
        <w:tblCellMar>
          <w:top w:w="28" w:type="dxa"/>
          <w:left w:w="28" w:type="dxa"/>
          <w:bottom w:w="28" w:type="dxa"/>
          <w:right w:w="28" w:type="dxa"/>
        </w:tblCellMar>
      </w:tblPr>
      <w:tblGrid>
        <w:gridCol w:w="743"/>
        <w:gridCol w:w="654"/>
        <w:gridCol w:w="658"/>
        <w:gridCol w:w="109"/>
        <w:gridCol w:w="359"/>
        <w:gridCol w:w="359"/>
        <w:gridCol w:w="1052"/>
      </w:tblGrid>
      <w:tr>
        <w:trPr/>
        <w:tc>
          <w:tcPr>
            <w:tcW w:w="74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CEO PSO Grant</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Grant Details</w:t>
            </w:r>
          </w:p>
        </w:tc>
        <w:tc>
          <w:tcPr>
            <w:tcW w:w="109" w:type="dxa"/>
            <w:tcBorders/>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22, 2025</w:t>
            </w:r>
          </w:p>
        </w:tc>
      </w:tr>
      <w:tr>
        <w:trPr/>
        <w:tc>
          <w:tcPr>
            <w:tcW w:w="205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granted</w:t>
            </w:r>
          </w:p>
        </w:tc>
        <w:tc>
          <w:tcPr>
            <w:tcW w:w="109" w:type="dxa"/>
            <w:tcBorders/>
            <w:vAlign w:val="center"/>
          </w:tcPr>
          <w:p>
            <w:pPr>
              <w:pStyle w:val="TableContents"/>
              <w:bidi w:val="0"/>
              <w:spacing w:before="0" w:after="283"/>
              <w:jc w:val="left"/>
              <w:rPr>
                <w:sz w:val="4"/>
                <w:szCs w:val="4"/>
              </w:rPr>
            </w:pPr>
            <w:r>
              <w:rPr>
                <w:sz w:val="4"/>
                <w:szCs w:val="4"/>
              </w:rPr>
            </w:r>
          </w:p>
        </w:tc>
        <w:tc>
          <w:tcPr>
            <w:tcW w:w="177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297,902</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 Date Fair Value</w:t>
            </w:r>
          </w:p>
        </w:tc>
        <w:tc>
          <w:tcPr>
            <w:tcW w:w="109" w:type="dxa"/>
            <w:tcBorders/>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$73.85</w:t>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Assumptions</w:t>
            </w:r>
          </w:p>
        </w:tc>
        <w:tc>
          <w:tcPr>
            <w:tcW w:w="109" w:type="dxa"/>
            <w:tcBorders/>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0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09" w:type="dxa"/>
            <w:tcBorders/>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24.72 </w:t>
            </w:r>
          </w:p>
        </w:tc>
        <w:tc>
          <w:tcPr>
            <w:tcW w:w="10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109" w:type="dxa"/>
            <w:tcBorders/>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0.90 </w:t>
            </w:r>
          </w:p>
        </w:tc>
        <w:tc>
          <w:tcPr>
            <w:tcW w:w="10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(years)</w:t>
            </w:r>
          </w:p>
        </w:tc>
        <w:tc>
          <w:tcPr>
            <w:tcW w:w="109" w:type="dxa"/>
            <w:tcBorders/>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60"/>
        <w:jc w:val="both"/>
        <w:rPr>
          <w:rFonts w:ascii="Times New Roman;serif" w:hAnsi="Times New Roman;serif"/>
          <w:b/>
          <w:color w:val="000000"/>
          <w:sz w:val="20"/>
        </w:rPr>
      </w:pPr>
      <w:r>
        <w:rPr>
          <w:rFonts w:ascii="Times New Roman;serif" w:hAnsi="Times New Roman;serif"/>
          <w:b/>
          <w:color w:val="000000"/>
          <w:sz w:val="20"/>
        </w:rPr>
        <w:t>Restricted Stock Awards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 summary of Restricted Stock Award activity for employee and non-employee directors is as follows:</w:t>
      </w:r>
    </w:p>
    <w:tbl>
      <w:tblPr>
        <w:tblW w:w="8188" w:type="dxa"/>
        <w:jc w:val="left"/>
        <w:tblInd w:w="0" w:type="dxa"/>
        <w:tblLayout w:type="fixed"/>
        <w:tblCellMar>
          <w:top w:w="28" w:type="dxa"/>
          <w:left w:w="28" w:type="dxa"/>
          <w:bottom w:w="28" w:type="dxa"/>
          <w:right w:w="28" w:type="dxa"/>
        </w:tblCellMar>
      </w:tblPr>
      <w:tblGrid>
        <w:gridCol w:w="1487"/>
        <w:gridCol w:w="1307"/>
        <w:gridCol w:w="1315"/>
        <w:gridCol w:w="599"/>
        <w:gridCol w:w="599"/>
        <w:gridCol w:w="601"/>
        <w:gridCol w:w="443"/>
        <w:gridCol w:w="1514"/>
        <w:gridCol w:w="323"/>
      </w:tblGrid>
      <w:tr>
        <w:trPr/>
        <w:tc>
          <w:tcPr>
            <w:tcW w:w="148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 award data)</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Outstanding</w:t>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Grant</w:t>
              <w:br/>
              <w:t>Date Fair Value Per Award</w:t>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August 31, 2025</w:t>
            </w:r>
          </w:p>
        </w:tc>
        <w:tc>
          <w:tcPr>
            <w:tcW w:w="119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60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429.19 </w:t>
            </w:r>
          </w:p>
        </w:tc>
        <w:tc>
          <w:tcPr>
            <w:tcW w:w="32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Granted – employee Restricted Stock Awards</w:t>
            </w:r>
            <w:r>
              <w:rPr>
                <w:rFonts w:ascii="Times New Roman;serif" w:hAnsi="Times New Roman;serif"/>
                <w:b w:val="false"/>
                <w:color w:val="000000"/>
                <w:sz w:val="13"/>
              </w:rPr>
              <w:t>(1)(2)</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257.12 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2280"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Granted – non-employee directors RSUs</w:t>
            </w:r>
            <w:r>
              <w:rPr>
                <w:rFonts w:ascii="Times New Roman;serif" w:hAnsi="Times New Roman;serif"/>
                <w:b w:val="false"/>
                <w:color w:val="000000"/>
                <w:sz w:val="13"/>
              </w:rPr>
              <w:t>(2)</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285.16 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Vested</w:t>
            </w:r>
            <w:r>
              <w:rPr>
                <w:rFonts w:ascii="Times New Roman;serif" w:hAnsi="Times New Roman;serif"/>
                <w:b w:val="false"/>
                <w:color w:val="000000"/>
                <w:sz w:val="13"/>
              </w:rPr>
              <w:t>(3)</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419.81 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370.75 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Outstanding as of August 31, 2026</w:t>
            </w:r>
            <w:r>
              <w:rPr>
                <w:rFonts w:ascii="Times New Roman;serif" w:hAnsi="Times New Roman;serif"/>
                <w:b w:val="false"/>
                <w:color w:val="000000"/>
                <w:sz w:val="13"/>
              </w:rPr>
              <w:t>(4)</w:t>
            </w:r>
          </w:p>
        </w:tc>
        <w:tc>
          <w:tcPr>
            <w:tcW w:w="119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60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323.63 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 xml:space="preserve">(1)During fiscal 2026, we granted 260,534 RSUs and 65,717 PSUs. </w:t>
      </w:r>
    </w:p>
    <w:p>
      <w:pPr>
        <w:pStyle w:val="TextBody"/>
        <w:bidi w:val="0"/>
        <w:spacing w:lineRule="auto" w:line="288" w:before="0" w:after="6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(2)The employee Restricted Stock Awards weighted average grant date fair value granted during fiscal 2026, 2025 and 2024 was $257.12, $444.30 and $423.57, respectively. The non-employee directors RSUs weighted average grant date fair value granted during fiscal 2026, 2025 and 2024 was $285.16, $449.72 and $458.23, respectively.</w:t>
      </w:r>
    </w:p>
    <w:p>
      <w:pPr>
        <w:pStyle w:val="TextBody"/>
        <w:bidi w:val="0"/>
        <w:spacing w:lineRule="auto" w:line="288" w:before="0" w:after="6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 xml:space="preserve">(3)During fiscal 2026, 2025 and 2024, the total fair value of RSUs vested was $24.8 million, $21.7 million and $17.7 million, respectively, and for PSUs vested was $5.8 million, $14.4 million and $13.6 million, respectively. </w:t>
      </w:r>
    </w:p>
    <w:p>
      <w:pPr>
        <w:pStyle w:val="TextBody"/>
        <w:bidi w:val="0"/>
        <w:spacing w:lineRule="auto" w:line="288" w:before="0" w:after="6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(4)As of August 31, 2026, 508,581 Restricted Stock Awards were unvested and outstanding, which resulted in unamortized stock-based compensation expense of $94.7 million that is expected to be recognized over the remaining weighted average vesting period of 2.6 years.</w:t>
      </w:r>
    </w:p>
    <w:p>
      <w:pPr>
        <w:pStyle w:val="TextBody"/>
        <w:bidi w:val="0"/>
        <w:spacing w:lineRule="auto" w:line="288" w:before="200" w:after="200"/>
        <w:jc w:val="both"/>
        <w:rPr>
          <w:rFonts w:ascii="Times New Roman;serif" w:hAnsi="Times New Roman;serif"/>
          <w:b/>
          <w:i/>
          <w:color w:val="000000"/>
          <w:sz w:val="20"/>
        </w:rPr>
      </w:pPr>
      <w:r>
        <w:rPr>
          <w:rFonts w:ascii="Times New Roman;serif" w:hAnsi="Times New Roman;serif"/>
          <w:b/>
          <w:i/>
          <w:color w:val="000000"/>
          <w:sz w:val="20"/>
        </w:rPr>
        <w:t>Employee Restricted Stock Awards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annual grant of employee Restricted Stock Awards during the first quarter of each fiscal year makes up the majority of our employee Restricted Stock Awards granted each fiscal year. These awards entitle the holders to shares of common stock as the Restricted Stock Awards vest. For unvested Restricted Stock Awards, holders are not entitled to dividends declared on the underlying shares. In accordance with the Omnibus Plan, Restricted Stock Awards granted or canceled/forfeited is equivalent to 2.5 shares deducted from or added back to, respectively, the aggregate number of stock-based awards available for grant.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majority of the RSUs granted during fiscal 2026 vest 25% annually on the anniversary date of the grant and are fully vested after four years, while the majority of the RSUs granted in fiscal 2025 and 2024 vest 20% annually over five years. The majority of the PSUs granted cliff vest on the third anniversary of the grant date. The ultimate number of common shares that may be earned pursuant to our PSU awards depends on the level of our achievement of stated financial performance objectives. The achievement range was 0% to 200% for the November 3, 2025, November 1, 2024 and November 1, 2023 annual grants.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Stock-based Awards Available for Grant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18, 2025, the Omnibus Plan authorized an additional 1.8 million shares available for grant. As of August 31, 2026, we had 4.2 million shares available for future awards to employees and non-employee directors.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4"/>
        </w:rPr>
      </w:pPr>
      <w:r>
        <w:rPr>
          <w:rFonts w:ascii="Times New Roman;serif" w:hAnsi="Times New Roman;serif"/>
          <w:b/>
          <w:color w:val="000000"/>
          <w:sz w:val="24"/>
        </w:rPr>
        <w:t>15. EMPLOYEE BENEFIT PLANS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Defined Contribution Plan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401(k) Plan is a defined contribution plan covering all full-time, U.S. employees of FactSet and is subject to the provisions of the Employee Retirement Income Security Act of 1974 and the Code. Each year, participants may contribute up to 60% of their eligible annual compensation, subject to annual limitations established by the Code. We match up to 4% of employees’ earnings, capped at the Internal Revenue Service annual maximum. Company matching contributions are subject to a five-year graduated vesting schedule. All full-time, U.S. employees are eligible for the matching contribution by FactSet. We contributed $16.1 million, $14.8 million and $14.2 million in matching contributions to employee 401(k) accounts during fiscal 2026,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4"/>
        </w:rPr>
      </w:pPr>
      <w:r>
        <w:rPr>
          <w:rFonts w:ascii="Times New Roman;serif" w:hAnsi="Times New Roman;serif"/>
          <w:b/>
          <w:color w:val="000000"/>
          <w:sz w:val="24"/>
        </w:rPr>
        <w:t>16. SEGMENT INFORMATION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Operating segments are defined as components of an enterprise that have the following characteristics: (i) they engage in business activities from which they may earn revenue and incur expense, (ii) their operating results are regularly reviewed by the chief operating decision maker ("CODM") for resource allocation decisions and performance assessment, and (iii) their discrete financial information is available. Our CEO functions as our CODM.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have three operating segments: Americas, EMEA and Asia Pacific. This is how our CODM manages our business and the geographic markets in which we operate. These operating segments are consistent with our reportable segments. Our CODM uses segment operating income to assess performance and allocate resources to each segment. The CODM compares the actual results of each segment with one another, as well as, to prior periods.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Americas segment primarily sells to clients throughout North, Central, and South America. The EMEA segment primarily sells to clients in Europe, the Middle East, and Africa. The Asia Pacific segment primarily sells to clients in Asia and Australasia. Segment revenues reflect sales to our clients based on the geographic region where the sale originated.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While each segment records expenses related to its individual operations, the majority of our data centers, third-party data costs and corporate headquarters charges are recorded by the Americas segment and are not allocated to the other segments. The expenses incurred at our global centers of excellence ("COEs"), primarily located in India and the Philippines, are allocated to each segment based on their respective percentage of revenues as this reflects the benefits provided to each segment.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Intercompany revenue and expense amounts have been eliminated within each segment in order to report on the basis that management uses internally for evaluating segment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reflect the results of operations of our segments:</w:t>
      </w:r>
    </w:p>
    <w:tbl>
      <w:tblPr>
        <w:tblW w:w="7764" w:type="dxa"/>
        <w:jc w:val="left"/>
        <w:tblInd w:w="0" w:type="dxa"/>
        <w:tblLayout w:type="fixed"/>
        <w:tblCellMar>
          <w:top w:w="28" w:type="dxa"/>
          <w:left w:w="28" w:type="dxa"/>
          <w:bottom w:w="28" w:type="dxa"/>
          <w:right w:w="28" w:type="dxa"/>
        </w:tblCellMar>
      </w:tblPr>
      <w:tblGrid>
        <w:gridCol w:w="1026"/>
        <w:gridCol w:w="904"/>
        <w:gridCol w:w="905"/>
        <w:gridCol w:w="211"/>
        <w:gridCol w:w="976"/>
        <w:gridCol w:w="109"/>
        <w:gridCol w:w="211"/>
        <w:gridCol w:w="826"/>
        <w:gridCol w:w="109"/>
        <w:gridCol w:w="211"/>
        <w:gridCol w:w="826"/>
        <w:gridCol w:w="109"/>
        <w:gridCol w:w="211"/>
        <w:gridCol w:w="976"/>
        <w:gridCol w:w="154"/>
      </w:tblGrid>
      <w:tr>
        <w:trPr/>
        <w:tc>
          <w:tcPr>
            <w:tcW w:w="102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August 31, 2026</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Americas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EMEA</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83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1,617,438 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605,339 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253,479 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2,476,256 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expenses</w:t>
            </w:r>
            <w:r>
              <w:rPr>
                <w:rFonts w:ascii="Times New Roman;serif" w:hAnsi="Times New Roman;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1,776,299 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259,566 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258,403 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181,988 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699,957 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649,716 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Other segment disclosures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Capital expenditures</w:t>
            </w:r>
            <w:r>
              <w:rPr>
                <w:rFonts w:ascii="Times New Roman;serif" w:hAnsi="Times New Roman;serif"/>
                <w:b w:val="false"/>
                <w:color w:val="000000"/>
                <w:sz w:val="13"/>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764" w:type="dxa"/>
        <w:jc w:val="left"/>
        <w:tblInd w:w="0" w:type="dxa"/>
        <w:tblLayout w:type="fixed"/>
        <w:tblCellMar>
          <w:top w:w="28" w:type="dxa"/>
          <w:left w:w="28" w:type="dxa"/>
          <w:bottom w:w="28" w:type="dxa"/>
          <w:right w:w="28" w:type="dxa"/>
        </w:tblCellMar>
      </w:tblPr>
      <w:tblGrid>
        <w:gridCol w:w="1024"/>
        <w:gridCol w:w="904"/>
        <w:gridCol w:w="907"/>
        <w:gridCol w:w="211"/>
        <w:gridCol w:w="976"/>
        <w:gridCol w:w="109"/>
        <w:gridCol w:w="211"/>
        <w:gridCol w:w="826"/>
        <w:gridCol w:w="109"/>
        <w:gridCol w:w="211"/>
        <w:gridCol w:w="826"/>
        <w:gridCol w:w="109"/>
        <w:gridCol w:w="211"/>
        <w:gridCol w:w="976"/>
        <w:gridCol w:w="154"/>
      </w:tblGrid>
      <w:tr>
        <w:trPr/>
        <w:tc>
          <w:tcPr>
            <w:tcW w:w="102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August 31, 2025</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Americas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EMEA</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83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1,506,108 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580,284 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235,356 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2,321,748 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expenses</w:t>
            </w:r>
            <w:r>
              <w:rPr>
                <w:rFonts w:ascii="Times New Roman;serif" w:hAnsi="Times New Roman;serif"/>
                <w:b w:val="false"/>
                <w:color w:val="000000"/>
                <w:sz w:val="13"/>
              </w:rPr>
              <w:t>(1)</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1,200,145 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306,282 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1,573,445 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305,963 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274,002 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168,338 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748,303 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720,958 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Other segment disclosures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Capital expenditures</w:t>
            </w:r>
            <w:r>
              <w:rPr>
                <w:rFonts w:ascii="Times New Roman;serif" w:hAnsi="Times New Roman;serif"/>
                <w:b w:val="false"/>
                <w:color w:val="000000"/>
                <w:sz w:val="13"/>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764" w:type="dxa"/>
        <w:jc w:val="left"/>
        <w:tblInd w:w="0" w:type="dxa"/>
        <w:tblLayout w:type="fixed"/>
        <w:tblCellMar>
          <w:top w:w="28" w:type="dxa"/>
          <w:left w:w="28" w:type="dxa"/>
          <w:bottom w:w="28" w:type="dxa"/>
          <w:right w:w="28" w:type="dxa"/>
        </w:tblCellMar>
      </w:tblPr>
      <w:tblGrid>
        <w:gridCol w:w="1024"/>
        <w:gridCol w:w="904"/>
        <w:gridCol w:w="907"/>
        <w:gridCol w:w="211"/>
        <w:gridCol w:w="976"/>
        <w:gridCol w:w="109"/>
        <w:gridCol w:w="211"/>
        <w:gridCol w:w="826"/>
        <w:gridCol w:w="109"/>
        <w:gridCol w:w="211"/>
        <w:gridCol w:w="826"/>
        <w:gridCol w:w="109"/>
        <w:gridCol w:w="211"/>
        <w:gridCol w:w="976"/>
        <w:gridCol w:w="154"/>
      </w:tblGrid>
      <w:tr>
        <w:trPr/>
        <w:tc>
          <w:tcPr>
            <w:tcW w:w="102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August 31, 2024</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Americas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EMEA</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83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1,419,901 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563,128 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220,027 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2,203,056 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expenses</w:t>
            </w:r>
            <w:r>
              <w:rPr>
                <w:rFonts w:ascii="Times New Roman;serif" w:hAnsi="Times New Roman;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1,501,757 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261,790 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282,963 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156,546 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701,299 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651,503 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Other segment disclosures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Capital expenditures</w:t>
            </w:r>
            <w:r>
              <w:rPr>
                <w:rFonts w:ascii="Times New Roman;serif" w:hAnsi="Times New Roman;serif"/>
                <w:b w:val="false"/>
                <w:color w:val="000000"/>
                <w:sz w:val="13"/>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270"/>
        <w:jc w:val="both"/>
        <w:rPr>
          <w:rFonts w:ascii="Times New Roman;serif" w:hAnsi="Times New Roman;serif"/>
          <w:b w:val="false"/>
          <w:color w:val="212529"/>
          <w:sz w:val="18"/>
        </w:rPr>
      </w:pPr>
      <w:r>
        <w:rPr>
          <w:rFonts w:ascii="Times New Roman;serif" w:hAnsi="Times New Roman;serif"/>
          <w:b w:val="false"/>
          <w:color w:val="212529"/>
          <w:sz w:val="18"/>
        </w:rPr>
        <w:t>(1)Operating expenses consist of Cost of services and SG&amp;A costs.</w:t>
      </w:r>
    </w:p>
    <w:p>
      <w:pPr>
        <w:pStyle w:val="TextBody"/>
        <w:bidi w:val="0"/>
        <w:spacing w:lineRule="auto" w:line="288" w:before="60" w:after="6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(2)Capital expenditures include purchases of PPE and capitalized internal-use software.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Segment Total Assets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the total assets for our segments:</w:t>
      </w:r>
    </w:p>
    <w:tbl>
      <w:tblPr>
        <w:tblW w:w="5312" w:type="dxa"/>
        <w:jc w:val="left"/>
        <w:tblInd w:w="0" w:type="dxa"/>
        <w:tblLayout w:type="fixed"/>
        <w:tblCellMar>
          <w:top w:w="28" w:type="dxa"/>
          <w:left w:w="28" w:type="dxa"/>
          <w:bottom w:w="28" w:type="dxa"/>
          <w:right w:w="28" w:type="dxa"/>
        </w:tblCellMar>
      </w:tblPr>
      <w:tblGrid>
        <w:gridCol w:w="499"/>
        <w:gridCol w:w="439"/>
        <w:gridCol w:w="441"/>
        <w:gridCol w:w="211"/>
        <w:gridCol w:w="976"/>
        <w:gridCol w:w="109"/>
        <w:gridCol w:w="211"/>
        <w:gridCol w:w="976"/>
        <w:gridCol w:w="109"/>
        <w:gridCol w:w="211"/>
        <w:gridCol w:w="976"/>
        <w:gridCol w:w="154"/>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As of August 31, </w:t>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137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Segment Assets</w:t>
            </w:r>
          </w:p>
        </w:tc>
        <w:tc>
          <w:tcPr>
            <w:tcW w:w="12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3,447,703 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3,523,467 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3,178,800 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600,206 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Total assets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4,140,023 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4,304,272 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4,055,040 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Geographic Information</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tables reflect our revenues and long-lived assets, split geographically by our country of domicile (the U.S.) and other countries where major subsidiaries are domiciled.</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Geographic Revenues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revenues by geography, attributed to countries based on the location of the client:</w:t>
      </w:r>
    </w:p>
    <w:tbl>
      <w:tblPr>
        <w:tblW w:w="5733" w:type="dxa"/>
        <w:jc w:val="left"/>
        <w:tblInd w:w="0" w:type="dxa"/>
        <w:tblLayout w:type="fixed"/>
        <w:tblCellMar>
          <w:top w:w="28" w:type="dxa"/>
          <w:left w:w="28" w:type="dxa"/>
          <w:bottom w:w="28" w:type="dxa"/>
          <w:right w:w="28" w:type="dxa"/>
        </w:tblCellMar>
      </w:tblPr>
      <w:tblGrid>
        <w:gridCol w:w="651"/>
        <w:gridCol w:w="574"/>
        <w:gridCol w:w="575"/>
        <w:gridCol w:w="211"/>
        <w:gridCol w:w="976"/>
        <w:gridCol w:w="109"/>
        <w:gridCol w:w="211"/>
        <w:gridCol w:w="976"/>
        <w:gridCol w:w="109"/>
        <w:gridCol w:w="211"/>
        <w:gridCol w:w="976"/>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9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 ended August 31,</w:t>
            </w:r>
          </w:p>
        </w:tc>
      </w:tr>
      <w:tr>
        <w:trPr/>
        <w:tc>
          <w:tcPr>
            <w:tcW w:w="1800"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180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Revenues</w:t>
            </w:r>
          </w:p>
        </w:tc>
        <w:tc>
          <w:tcPr>
            <w:tcW w:w="12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All other countries</w:t>
            </w:r>
            <w:r>
              <w:rPr>
                <w:rFonts w:ascii="Times New Roman;serif" w:hAnsi="Times New Roman;serif"/>
                <w:b w:val="false"/>
                <w:color w:val="000000"/>
                <w:sz w:val="13"/>
              </w:rPr>
              <w:t>(1)</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717,565 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674,875 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640,856 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Total revenues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2,476,256 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2,321,748 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2,203,056 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(1) Geographic revenues for Other European Countries were combined with All other countries in fiscal 2026. We conformed the comparative prior year figures to the current year presentation.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Geographic Long-Lived Assets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long-lived assets by geographic area, which consist of PPE, net and Lease ROU assets, net.</w:t>
      </w:r>
    </w:p>
    <w:tbl>
      <w:tblPr>
        <w:tblW w:w="4302" w:type="dxa"/>
        <w:jc w:val="left"/>
        <w:tblInd w:w="0" w:type="dxa"/>
        <w:tblLayout w:type="fixed"/>
        <w:tblCellMar>
          <w:top w:w="28" w:type="dxa"/>
          <w:left w:w="28" w:type="dxa"/>
          <w:bottom w:w="28" w:type="dxa"/>
          <w:right w:w="28" w:type="dxa"/>
        </w:tblCellMar>
      </w:tblPr>
      <w:tblGrid>
        <w:gridCol w:w="711"/>
        <w:gridCol w:w="626"/>
        <w:gridCol w:w="628"/>
        <w:gridCol w:w="211"/>
        <w:gridCol w:w="826"/>
        <w:gridCol w:w="109"/>
        <w:gridCol w:w="211"/>
        <w:gridCol w:w="826"/>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233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August 31, </w:t>
            </w:r>
          </w:p>
        </w:tc>
      </w:tr>
      <w:tr>
        <w:trPr/>
        <w:tc>
          <w:tcPr>
            <w:tcW w:w="1965"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96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Long-lived Assets</w:t>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103,545 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Philippines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All other countries</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Total long-lived assets</w:t>
            </w:r>
          </w:p>
        </w:tc>
        <w:tc>
          <w:tcPr>
            <w:tcW w:w="211" w:type="dxa"/>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192,521 </w:t>
            </w:r>
          </w:p>
        </w:tc>
        <w:tc>
          <w:tcPr>
            <w:tcW w:w="109"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206,979 </w:t>
            </w:r>
          </w:p>
        </w:tc>
        <w:tc>
          <w:tcPr>
            <w:tcW w:w="154"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(1) India long-lived assets were combined with All other countries in fiscal 2026. We conformed the comparative prior year figures to the current year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4"/>
        </w:rPr>
      </w:pPr>
      <w:r>
        <w:rPr>
          <w:rFonts w:ascii="Times New Roman;serif" w:hAnsi="Times New Roman;serif"/>
          <w:b/>
          <w:color w:val="000000"/>
          <w:sz w:val="24"/>
        </w:rPr>
        <w:t>ITEM 9. CHANGES IN AND DISAGREEMENTS WITH ACCOUNTANTS ON ACCOUNTING AND FINANCIAL DISCLOSURE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4"/>
        </w:rPr>
      </w:pPr>
      <w:r>
        <w:rPr>
          <w:rFonts w:ascii="Times New Roman;serif" w:hAnsi="Times New Roman;serif"/>
          <w:b/>
          <w:color w:val="000000"/>
          <w:sz w:val="24"/>
        </w:rPr>
        <w:t>ITEM 9A. CONTROLS AND PROCEDURES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management, including our Principal Executive Officer and Principal Financial Officer, has evaluated the effectiveness of our disclosure controls and procedures pursuant to Rules 13a-15(e) and 15d-15(e) under the Securities Exchange Act of 1934, as amended (the "Exchange Act") as of the end of the annual period covered by this report. Based on that evaluation, our Principal Executive Officer and Principal Financial Officer concluded that, as of August 31, 2026, our disclosure controls and procedures were effective.</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Remediation of Previously Reported Material Weakness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first reported in our Annual Report on Form 10-K for the fiscal year ended August 31, 2024, we identified deficiencies in the design and operation of IT general controls that support our revenues, accounts receivable, and deferred revenues processes which, in the aggregate, gave rise to a material weakness in internal control over financial reporting. Management, with the oversight of the Audit Committee of our Board of Directors, executed a remediation plan, which included:</w:t>
      </w:r>
    </w:p>
    <w:p>
      <w:pPr>
        <w:pStyle w:val="TextBody"/>
        <w:bidi w:val="0"/>
        <w:spacing w:lineRule="auto" w:line="288" w:before="200" w:after="283"/>
        <w:ind w:left="0" w:right="0" w:hanging="360"/>
        <w:jc w:val="both"/>
        <w:rPr/>
      </w:pPr>
      <w:r>
        <w:rPr>
          <w:color w:val="000000"/>
        </w:rPr>
        <w:t>•</w:t>
      </w:r>
      <w:r>
        <w:rPr>
          <w:rFonts w:ascii="Times New Roman;serif" w:hAnsi="Times New Roman;serif"/>
          <w:b w:val="false"/>
          <w:color w:val="000000"/>
          <w:sz w:val="20"/>
        </w:rPr>
        <w:t xml:space="preserve">Implementing controls that increase the frequency and effectiveness of user access management and change management, including improved logging and segregation of duties capabilities.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Formalizing standard operating procedures and documentation for change monitoring and segregation of duties review controls and training relevant personnel on the design and operation of our IT general controls.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Performing additional testing of IT general controls to demonstrate the sustainability and repeatability of control operating effectiveness.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Implementing technology solutions to enhance the control framework for supporting change monitoring, segregation of duties and access management review controls.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Hiring additional IT compliance personnel and Chief Audit Executive.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 ended August 31, 2026, management completed our testing of these remediation measures. The enhanced controls operated for a sufficient period of time, and management completed testing of their design and operating effectiveness in the fourth quarter. Based on the results of this testing, management concluded that the material weakness was remediated as of August 31, 2026. </w:t>
      </w:r>
    </w:p>
    <w:p>
      <w:pPr>
        <w:pStyle w:val="TextBody"/>
        <w:bidi w:val="0"/>
        <w:spacing w:lineRule="auto" w:line="276" w:before="200" w:after="283"/>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Other than completion of the remediation measures described above, there were no changes in the Company’s internal control over financial reporting (as such term is defined in Rules 13a-15(f) and 15d-15(f) under the Exchange Act) during the fourth quarter of fiscal 2026 that have materially affected, or are reasonably likely to materially affect, our internal control over financial reporting.</w:t>
      </w:r>
    </w:p>
    <w:p>
      <w:pPr>
        <w:pStyle w:val="TextBody"/>
        <w:bidi w:val="0"/>
        <w:spacing w:lineRule="auto" w:line="276" w:before="200" w:after="283"/>
        <w:jc w:val="both"/>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w:t>
      </w:r>
    </w:p>
    <w:p>
      <w:pPr>
        <w:pStyle w:val="TextBody"/>
        <w:bidi w:val="0"/>
        <w:spacing w:lineRule="auto" w:line="288" w:before="200" w:after="283"/>
        <w:jc w:val="both"/>
        <w:rPr/>
      </w:pPr>
      <w:r>
        <w:rPr>
          <w:rFonts w:ascii="Times New Roman;serif" w:hAnsi="Times New Roman;serif"/>
          <w:b w:val="false"/>
          <w:color w:val="000000"/>
          <w:sz w:val="20"/>
        </w:rPr>
        <w:t xml:space="preserve">See Part II, Item 8. </w:t>
      </w:r>
      <w:r>
        <w:rPr>
          <w:rFonts w:ascii="Times New Roman;serif" w:hAnsi="Times New Roman;serif"/>
          <w:b w:val="false"/>
          <w:i/>
          <w:color w:val="000000"/>
          <w:sz w:val="20"/>
        </w:rPr>
        <w:t>Management’s Report on Internal Control Over Financial Reporting</w:t>
      </w:r>
      <w:r>
        <w:rPr>
          <w:color w:val="000000"/>
        </w:rPr>
        <w:t xml:space="preserve"> </w:t>
      </w:r>
      <w:r>
        <w:rPr>
          <w:rFonts w:ascii="Times New Roman;serif" w:hAnsi="Times New Roman;serif"/>
          <w:b w:val="false"/>
          <w:color w:val="000000"/>
          <w:sz w:val="20"/>
        </w:rPr>
        <w:t>of this Annual Report on Form 10-K, which is incorporated herein by reference.</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200" w:after="283"/>
        <w:jc w:val="both"/>
        <w:rPr/>
      </w:pPr>
      <w:r>
        <w:rPr>
          <w:rFonts w:ascii="Times New Roman;serif" w:hAnsi="Times New Roman;serif"/>
          <w:b w:val="false"/>
          <w:color w:val="000000"/>
          <w:sz w:val="20"/>
        </w:rPr>
        <w:t xml:space="preserve">See Part II, Item 8. </w:t>
      </w:r>
      <w:r>
        <w:rPr>
          <w:rFonts w:ascii="Times New Roman;serif" w:hAnsi="Times New Roman;serif"/>
          <w:b w:val="false"/>
          <w:i/>
          <w:color w:val="000000"/>
          <w:sz w:val="20"/>
        </w:rPr>
        <w:t>Report of Independent Registered Public Accounting Firm</w:t>
      </w:r>
      <w:r>
        <w:rPr>
          <w:color w:val="000000"/>
        </w:rPr>
        <w:t xml:space="preserve"> </w:t>
      </w:r>
      <w:r>
        <w:rPr>
          <w:rFonts w:ascii="Times New Roman;serif" w:hAnsi="Times New Roman;serif"/>
          <w:b w:val="false"/>
          <w:color w:val="000000"/>
          <w:sz w:val="20"/>
        </w:rPr>
        <w:t>of this Annual Report on Form 10-K,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4"/>
        </w:rPr>
      </w:pPr>
      <w:r>
        <w:rPr>
          <w:rFonts w:ascii="Times New Roman;serif" w:hAnsi="Times New Roman;serif"/>
          <w:b/>
          <w:color w:val="000000"/>
          <w:sz w:val="24"/>
        </w:rPr>
        <w:t>ITEM 9B. OTHER INFORMATION</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Rule 10b5-1 Trading Plans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None of our directors or officers (as defined in Section 16 of the Exchange Act), adopted or terminated a Rule 10b5-1 trading arrangement or a non-Rule 10b5-1 trading arrangement (each as defined in Item 408(a) and (c) of Regulation S-K) during the quarter ended August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4"/>
        </w:rPr>
      </w:pPr>
      <w:r>
        <w:rPr>
          <w:rFonts w:ascii="Times New Roman;serif" w:hAnsi="Times New Roman;serif"/>
          <w:b/>
          <w:color w:val="000000"/>
          <w:sz w:val="24"/>
        </w:rPr>
        <w:t>ITEM 9C. DISCLOSURE REGARDING FOREIGN JURISDICTIONS THAT PREVENT INSPECTIONS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4"/>
        </w:rPr>
      </w:pPr>
      <w:r>
        <w:rPr>
          <w:rFonts w:ascii="Times New Roman;serif" w:hAnsi="Times New Roman;serif"/>
          <w:b/>
          <w:color w:val="000000"/>
          <w:sz w:val="24"/>
        </w:rPr>
        <w:t>ITEM 10. DIRECTORS, EXECUTIVE OFFICERS AND CORPORATE GOVERNANCE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information required to be furnished by this Item 10 is incorporated herein by reference to our Notice of Annual Meeting of Stockholders and Proxy Statement to be filed within 120 days of August 31, 2026 (the "Proxy Statement").</w:t>
      </w:r>
    </w:p>
    <w:p>
      <w:pPr>
        <w:pStyle w:val="TextBody"/>
        <w:bidi w:val="0"/>
        <w:spacing w:lineRule="auto" w:line="288" w:before="200" w:after="283"/>
        <w:jc w:val="both"/>
        <w:rPr/>
      </w:pPr>
      <w:r>
        <w:rPr>
          <w:rFonts w:ascii="Times New Roman;serif" w:hAnsi="Times New Roman;serif"/>
          <w:b w:val="false"/>
          <w:color w:val="000000"/>
          <w:sz w:val="20"/>
        </w:rPr>
        <w:t xml:space="preserve">Pursuant to General Instruction G(3) of Form 10-K, the information required by this item relating to our executive officers is included in Part I, Item 1. </w:t>
      </w:r>
      <w:r>
        <w:rPr>
          <w:rFonts w:ascii="Times New Roman;serif" w:hAnsi="Times New Roman;serif"/>
          <w:b w:val="false"/>
          <w:i/>
          <w:color w:val="000000"/>
          <w:sz w:val="20"/>
        </w:rPr>
        <w:t>Business - Executive Officers of the Registrant</w:t>
      </w:r>
      <w:r>
        <w:rPr>
          <w:color w:val="000000"/>
        </w:rPr>
        <w:t xml:space="preserve"> </w:t>
      </w:r>
      <w:r>
        <w:rPr>
          <w:rFonts w:ascii="Times New Roman;serif" w:hAnsi="Times New Roman;serif"/>
          <w:b w:val="false"/>
          <w:color w:val="000000"/>
          <w:sz w:val="20"/>
        </w:rPr>
        <w:t>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4"/>
        </w:rPr>
      </w:pPr>
      <w:r>
        <w:rPr>
          <w:rFonts w:ascii="Times New Roman;serif" w:hAnsi="Times New Roman;serif"/>
          <w:b/>
          <w:color w:val="000000"/>
          <w:sz w:val="24"/>
        </w:rPr>
        <w:t>ITEM 11. EXECUTIVE COMPENSATION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information required to be furnished by this Item 11 is incorporated herein by reference to our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4"/>
        </w:rPr>
      </w:pPr>
      <w:r>
        <w:rPr>
          <w:rFonts w:ascii="Times New Roman;serif" w:hAnsi="Times New Roman;serif"/>
          <w:b/>
          <w:color w:val="000000"/>
          <w:sz w:val="24"/>
        </w:rPr>
        <w:t>ITEM 12. SECURITY OWNERSHIP OF CERTAIN BENEFICIAL OWNERS AND MANAGEMENT AND RELATED STOCKHOLDER MATTERS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information required to be furnished by this Item 12 is incorporated herein by reference to our Proxy Statement.</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Equity Compensation Plan Information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as of August 31, 2026, the number of outstanding equity awards granted to employees and non-employee directors, as well as the number of equity awards remaining available for future issuance, under our equity compensation plan:</w:t>
      </w:r>
    </w:p>
    <w:tbl>
      <w:tblPr>
        <w:tblW w:w="10205" w:type="dxa"/>
        <w:jc w:val="left"/>
        <w:tblInd w:w="0" w:type="dxa"/>
        <w:tblLayout w:type="fixed"/>
        <w:tblCellMar>
          <w:top w:w="28" w:type="dxa"/>
          <w:left w:w="28" w:type="dxa"/>
          <w:bottom w:w="28" w:type="dxa"/>
          <w:right w:w="28" w:type="dxa"/>
        </w:tblCellMar>
      </w:tblPr>
      <w:tblGrid>
        <w:gridCol w:w="966"/>
        <w:gridCol w:w="849"/>
        <w:gridCol w:w="855"/>
        <w:gridCol w:w="834"/>
        <w:gridCol w:w="673"/>
        <w:gridCol w:w="675"/>
        <w:gridCol w:w="109"/>
        <w:gridCol w:w="109"/>
        <w:gridCol w:w="109"/>
        <w:gridCol w:w="455"/>
        <w:gridCol w:w="1556"/>
        <w:gridCol w:w="237"/>
        <w:gridCol w:w="109"/>
        <w:gridCol w:w="109"/>
        <w:gridCol w:w="109"/>
        <w:gridCol w:w="751"/>
        <w:gridCol w:w="660"/>
        <w:gridCol w:w="661"/>
        <w:gridCol w:w="109"/>
        <w:gridCol w:w="109"/>
        <w:gridCol w:w="161"/>
      </w:tblGrid>
      <w:tr>
        <w:trPr/>
        <w:tc>
          <w:tcPr>
            <w:tcW w:w="96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 category</w:t>
            </w:r>
          </w:p>
        </w:tc>
        <w:tc>
          <w:tcPr>
            <w:tcW w:w="2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val="false"/>
                <w:sz w:val="20"/>
              </w:rPr>
              <w:br/>
            </w:r>
            <w:r>
              <w:rPr>
                <w:rFonts w:ascii="Times New Roman;serif" w:hAnsi="Times New Roman;serif"/>
                <w:b w:val="false"/>
                <w:color w:val="000000"/>
                <w:sz w:val="20"/>
              </w:rPr>
              <w:t>Number of securities</w:t>
              <w:br/>
              <w:t>to be issued upon exercise</w:t>
              <w:br/>
              <w:t xml:space="preserve">of outstanding options, warrants and rights </w:t>
              <w:b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Weighted-average</w:t>
              <w:br/>
              <w:t>exercise price of</w:t>
              <w:br/>
              <w:t>outstanding options, warrants and rights</w:t>
              <w:b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Number of securities remaining</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available for future issuances under</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equity compensation plans (excluding</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reflected in column (a))</w:t>
            </w:r>
          </w:p>
          <w:p>
            <w:pPr>
              <w:pStyle w:val="TableContents"/>
              <w:bidi w:val="0"/>
              <w:spacing w:lineRule="auto" w:line="240" w:before="0" w:after="0"/>
              <w:jc w:val="center"/>
              <w:rPr/>
            </w:pPr>
            <w:r>
              <w:rPr>
                <w:rFonts w:ascii="Times New Roman;serif" w:hAnsi="Times New Roman;serif"/>
                <w:b w:val="false"/>
                <w:color w:val="000000"/>
                <w:sz w:val="20"/>
              </w:rPr>
              <w:t>(c)</w:t>
            </w:r>
            <w:r>
              <w:rPr>
                <w:rFonts w:ascii="Times New Roman;serif" w:hAnsi="Times New Roman;serif"/>
                <w:b w:val="false"/>
                <w:color w:val="000000"/>
                <w:sz w:val="13"/>
              </w:rPr>
              <w:t>(3)</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 plans approved by security holders</w:t>
            </w:r>
          </w:p>
        </w:tc>
        <w:tc>
          <w:tcPr>
            <w:tcW w:w="15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2,423,880 </w:t>
            </w:r>
          </w:p>
        </w:tc>
        <w:tc>
          <w:tcPr>
            <w:tcW w:w="6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4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340.43 </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(2)</w:t>
            </w:r>
          </w:p>
        </w:tc>
        <w:tc>
          <w:tcPr>
            <w:tcW w:w="14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4,222,373 </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40"/>
              <w:jc w:val="left"/>
              <w:rPr/>
            </w:pPr>
            <w:r>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 plans not approved by security holders</w:t>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50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2,423,880 </w:t>
            </w:r>
          </w:p>
        </w:tc>
        <w:tc>
          <w:tcPr>
            <w:tcW w:w="67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45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340.43 </w:t>
            </w:r>
          </w:p>
        </w:tc>
        <w:tc>
          <w:tcPr>
            <w:tcW w:w="23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(2)</w:t>
            </w:r>
          </w:p>
        </w:tc>
        <w:tc>
          <w:tcPr>
            <w:tcW w:w="141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4,222,373 </w:t>
            </w:r>
          </w:p>
        </w:tc>
        <w:tc>
          <w:tcPr>
            <w:tcW w:w="66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40"/>
              <w:jc w:val="left"/>
              <w:rPr/>
            </w:pPr>
            <w:r>
              <w:rPr/>
            </w:r>
          </w:p>
        </w:tc>
      </w:tr>
    </w:tbl>
    <w:p>
      <w:pPr>
        <w:pStyle w:val="TextBody"/>
        <w:bidi w:val="0"/>
        <w:spacing w:lineRule="auto" w:line="288" w:before="60" w:after="283"/>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(1)Includes 1,617,397 shares issuable upon exercise of outstanding stock options, 297,902 shares issuable upon the conversion of outstanding performance stock options, 384,931 shares issuable upon vesting of outstanding RSUs and 123,650 shares issuable upon the conversion of outstanding PSUs.</w:t>
      </w:r>
    </w:p>
    <w:p>
      <w:pPr>
        <w:pStyle w:val="TextBody"/>
        <w:bidi w:val="0"/>
        <w:spacing w:lineRule="auto" w:line="288" w:before="60" w:after="283"/>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(2)Weighted average exercise price of outstanding stock options and PSOs only.</w:t>
      </w:r>
    </w:p>
    <w:p>
      <w:pPr>
        <w:pStyle w:val="TextBody"/>
        <w:bidi w:val="0"/>
        <w:spacing w:lineRule="auto" w:line="288" w:before="60" w:after="283"/>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(3)In accordance with the Omnibus Plan, each Restricted Stock Award granted or canceled/forfeited is equivalent to 2.5 shares deducted from or added back to, respectively, the aggregate number of stock-based awards available for grant.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283"/>
        <w:jc w:val="left"/>
        <w:rPr>
          <w:rFonts w:ascii="Times New Roman;serif" w:hAnsi="Times New Roman;serif"/>
          <w:b/>
          <w:color w:val="000000"/>
          <w:sz w:val="24"/>
        </w:rPr>
      </w:pPr>
      <w:r>
        <w:rPr>
          <w:rFonts w:ascii="Times New Roman;serif" w:hAnsi="Times New Roman;serif"/>
          <w:b/>
          <w:color w:val="000000"/>
          <w:sz w:val="24"/>
        </w:rPr>
        <w:t>ITEM 13. CERTAIN RELATIONSHIPS AND RELATED TRANSACTIONS, AND DIRECTOR INDEPENDENCE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information required to be furnished by this Item 13 is incorporated herein by reference to our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4"/>
        </w:rPr>
      </w:pPr>
      <w:r>
        <w:rPr>
          <w:rFonts w:ascii="Times New Roman;serif" w:hAnsi="Times New Roman;serif"/>
          <w:b/>
          <w:color w:val="000000"/>
          <w:sz w:val="24"/>
        </w:rPr>
        <w:t>ITEM 14. PRINCIPAL ACCOUNTING FEES AND SERVICES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information required to be furnished by this Item 14 is incorporated herein by reference to our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15. EXHIBITS, FINANCIAL STATEMENT SCHEDULES</w:t>
      </w:r>
    </w:p>
    <w:p>
      <w:pPr>
        <w:pStyle w:val="TextBody"/>
        <w:bidi w:val="0"/>
        <w:spacing w:lineRule="auto" w:line="288" w:before="2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(a)Documents filed as part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1.Financial Statements</w:t>
      </w:r>
    </w:p>
    <w:p>
      <w:pPr>
        <w:pStyle w:val="TextBody"/>
        <w:bidi w:val="0"/>
        <w:spacing w:lineRule="auto" w:line="288" w:before="200" w:after="283"/>
        <w:jc w:val="left"/>
        <w:rPr/>
      </w:pPr>
      <w:r>
        <w:rPr>
          <w:rFonts w:ascii="Times New Roman;serif" w:hAnsi="Times New Roman;serif"/>
          <w:b w:val="false"/>
          <w:color w:val="000000"/>
          <w:sz w:val="20"/>
        </w:rPr>
        <w:t xml:space="preserve">The information required by this item is included in Item 8. </w:t>
      </w:r>
      <w:r>
        <w:rPr>
          <w:rFonts w:ascii="Times New Roman;serif" w:hAnsi="Times New Roman;serif"/>
          <w:b w:val="false"/>
          <w:i/>
          <w:color w:val="000000"/>
          <w:sz w:val="20"/>
        </w:rPr>
        <w:t>Financial Statements and Supplementary Data</w:t>
      </w:r>
      <w:r>
        <w:rPr>
          <w:rFonts w:ascii="Times New Roman;serif" w:hAnsi="Times New Roman;serif"/>
          <w:b w:val="false"/>
          <w:color w:val="000000"/>
          <w:sz w:val="20"/>
        </w:rPr>
        <w:t>, of this Annual Report on Form 10-K which is incorporated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2.Financial Statements Schedule</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FactSet Research Systems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Schedule II – Valuation and Qualifying Accounts</w:t>
      </w:r>
    </w:p>
    <w:tbl>
      <w:tblPr>
        <w:tblW w:w="9491" w:type="dxa"/>
        <w:jc w:val="left"/>
        <w:tblInd w:w="0" w:type="dxa"/>
        <w:tblLayout w:type="fixed"/>
        <w:tblCellMar>
          <w:top w:w="28" w:type="dxa"/>
          <w:left w:w="28" w:type="dxa"/>
          <w:bottom w:w="28" w:type="dxa"/>
          <w:right w:w="28" w:type="dxa"/>
        </w:tblCellMar>
      </w:tblPr>
      <w:tblGrid>
        <w:gridCol w:w="939"/>
        <w:gridCol w:w="827"/>
        <w:gridCol w:w="829"/>
        <w:gridCol w:w="507"/>
        <w:gridCol w:w="1735"/>
        <w:gridCol w:w="262"/>
        <w:gridCol w:w="392"/>
        <w:gridCol w:w="1145"/>
        <w:gridCol w:w="202"/>
        <w:gridCol w:w="322"/>
        <w:gridCol w:w="1056"/>
        <w:gridCol w:w="166"/>
        <w:gridCol w:w="215"/>
        <w:gridCol w:w="737"/>
        <w:gridCol w:w="157"/>
      </w:tblGrid>
      <w:tr>
        <w:trPr/>
        <w:tc>
          <w:tcPr>
            <w:tcW w:w="93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Balance at Beginning of Year</w:t>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Charged to Expense</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Write-offs,</w:t>
              <w:br/>
              <w:t>Net of Recoveries</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Balance at</w:t>
              <w:br/>
              <w:t>End of Year</w:t>
            </w:r>
          </w:p>
        </w:tc>
      </w:tr>
      <w:tr>
        <w:trPr/>
        <w:tc>
          <w:tcPr>
            <w:tcW w:w="25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Accounts Receivable Allowance:</w:t>
            </w:r>
          </w:p>
        </w:tc>
        <w:tc>
          <w:tcPr>
            <w:tcW w:w="25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13,789 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14,581 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4,973 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7,769 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Additional financial statement schedules are omitted since they are either not required, not applicable, or the information is otherwise included in the Consolidated Financial Statements or notes thereto included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val="false"/>
          <w:color w:val="000000"/>
          <w:sz w:val="20"/>
          <w:shd w:fill="FFFFFF" w:val="clear"/>
        </w:rPr>
        <w:t>3.</w:t>
      </w:r>
      <w:r>
        <w:rPr>
          <w:rFonts w:ascii="Times New Roman;serif" w:hAnsi="Times New Roman;serif"/>
          <w:b w:val="false"/>
          <w:color w:val="000000"/>
          <w:sz w:val="20"/>
          <w:shd w:fill="FFFFFF" w:val="clear"/>
        </w:rPr>
        <w:t>Exhibits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set forth below.</w:t>
      </w:r>
    </w:p>
    <w:tbl>
      <w:tblPr>
        <w:tblW w:w="10205" w:type="dxa"/>
        <w:jc w:val="left"/>
        <w:tblInd w:w="0" w:type="dxa"/>
        <w:tblLayout w:type="fixed"/>
        <w:tblCellMar>
          <w:top w:w="28" w:type="dxa"/>
          <w:left w:w="28" w:type="dxa"/>
          <w:bottom w:w="28" w:type="dxa"/>
          <w:right w:w="28" w:type="dxa"/>
        </w:tblCellMar>
      </w:tblPr>
      <w:tblGrid>
        <w:gridCol w:w="277"/>
        <w:gridCol w:w="244"/>
        <w:gridCol w:w="245"/>
        <w:gridCol w:w="1346"/>
        <w:gridCol w:w="1335"/>
        <w:gridCol w:w="1348"/>
        <w:gridCol w:w="109"/>
        <w:gridCol w:w="109"/>
        <w:gridCol w:w="109"/>
        <w:gridCol w:w="178"/>
        <w:gridCol w:w="178"/>
        <w:gridCol w:w="179"/>
        <w:gridCol w:w="109"/>
        <w:gridCol w:w="109"/>
        <w:gridCol w:w="109"/>
        <w:gridCol w:w="269"/>
        <w:gridCol w:w="263"/>
        <w:gridCol w:w="189"/>
        <w:gridCol w:w="109"/>
        <w:gridCol w:w="109"/>
        <w:gridCol w:w="109"/>
        <w:gridCol w:w="303"/>
        <w:gridCol w:w="303"/>
        <w:gridCol w:w="305"/>
        <w:gridCol w:w="109"/>
        <w:gridCol w:w="109"/>
        <w:gridCol w:w="109"/>
        <w:gridCol w:w="237"/>
        <w:gridCol w:w="237"/>
        <w:gridCol w:w="239"/>
        <w:gridCol w:w="109"/>
        <w:gridCol w:w="109"/>
        <w:gridCol w:w="109"/>
        <w:gridCol w:w="259"/>
        <w:gridCol w:w="259"/>
        <w:gridCol w:w="377"/>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479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Incorporated by Reference</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w:t>
              <w:br/>
              <w:t>Number</w:t>
            </w:r>
          </w:p>
        </w:tc>
        <w:tc>
          <w:tcPr>
            <w:tcW w:w="4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w:t>
              <w:b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Filed</w:t>
              <w:br/>
              <w:t>Herewith</w:t>
            </w:r>
          </w:p>
        </w:tc>
      </w:tr>
      <w:tr>
        <w:trPr/>
        <w:tc>
          <w:tcPr>
            <w:tcW w:w="76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pPr>
            <w:hyperlink r:id="rId4">
              <w:r>
                <w:rPr>
                  <w:rStyle w:val="InternetLink"/>
                  <w:rFonts w:ascii="Times New Roman;serif" w:hAnsi="Times New Roman;serif"/>
                  <w:b w:val="false"/>
                  <w:color w:val="0000FF"/>
                  <w:sz w:val="20"/>
                  <w:u w:val="single"/>
                </w:rPr>
                <w:t>3.1</w:t>
              </w:r>
            </w:hyperlink>
          </w:p>
        </w:tc>
        <w:tc>
          <w:tcPr>
            <w:tcW w:w="402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80"/>
                  <w:sz w:val="20"/>
                  <w:u w:val="single"/>
                </w:rPr>
                <w:t xml:space="preserve">FactSet Research Systems Inc. </w:t>
              </w:r>
            </w:hyperlink>
            <w:hyperlink r:id="rId6">
              <w:r>
                <w:rPr>
                  <w:rStyle w:val="InternetLink"/>
                  <w:rFonts w:ascii="Times New Roman;serif" w:hAnsi="Times New Roman;serif"/>
                  <w:b w:val="false"/>
                  <w:color w:val="000080"/>
                  <w:sz w:val="20"/>
                  <w:u w:val="single"/>
                </w:rPr>
                <w:t>Third</w:t>
              </w:r>
            </w:hyperlink>
            <w:hyperlink r:id="rId7">
              <w:r>
                <w:rPr>
                  <w:rStyle w:val="InternetLink"/>
                  <w:rFonts w:ascii="Times New Roman;serif" w:hAnsi="Times New Roman;serif"/>
                  <w:b w:val="false"/>
                  <w:color w:val="000080"/>
                  <w:sz w:val="20"/>
                  <w:u w:val="single"/>
                </w:rPr>
                <w:t xml:space="preserve"> Amended and Restated </w:t>
              </w:r>
            </w:hyperlink>
            <w:hyperlink r:id="rId8">
              <w:r>
                <w:rPr>
                  <w:rStyle w:val="InternetLink"/>
                  <w:rFonts w:ascii="Times New Roman;serif" w:hAnsi="Times New Roman;serif"/>
                  <w:b w:val="false"/>
                  <w:color w:val="000080"/>
                  <w:sz w:val="20"/>
                  <w:u w:val="single"/>
                </w:rPr>
                <w:t>Certificate</w:t>
              </w:r>
            </w:hyperlink>
            <w:hyperlink r:id="rId9">
              <w:r>
                <w:rPr>
                  <w:rStyle w:val="InternetLink"/>
                  <w:rFonts w:ascii="Times New Roman;serif" w:hAnsi="Times New Roman;serif"/>
                  <w:b w:val="false"/>
                  <w:color w:val="000080"/>
                  <w:sz w:val="20"/>
                  <w:u w:val="single"/>
                </w:rPr>
                <w:t xml:space="preserve"> of Incorporation</w:t>
              </w:r>
            </w:hyperlink>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001-11869</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12/22/2025</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10">
              <w:r>
                <w:rPr>
                  <w:rStyle w:val="InternetLink"/>
                  <w:rFonts w:ascii="Times New Roman;serif" w:hAnsi="Times New Roman;serif"/>
                  <w:b w:val="false"/>
                  <w:color w:val="0000FF"/>
                  <w:sz w:val="20"/>
                  <w:u w:val="single"/>
                </w:rPr>
                <w:t>3.2</w:t>
              </w:r>
            </w:hyperlink>
          </w:p>
        </w:tc>
        <w:tc>
          <w:tcPr>
            <w:tcW w:w="4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FactSet Research Systems Inc. Amended and Restated By-Laws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001-11869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2">
              <w:r>
                <w:rPr>
                  <w:rStyle w:val="InternetLink"/>
                  <w:rFonts w:ascii="Times New Roman;serif" w:hAnsi="Times New Roman;serif"/>
                  <w:b w:val="false"/>
                  <w:color w:val="0000FF"/>
                  <w:sz w:val="20"/>
                  <w:u w:val="single"/>
                </w:rPr>
                <w:t>4.0</w:t>
              </w:r>
            </w:hyperlink>
          </w:p>
        </w:tc>
        <w:tc>
          <w:tcPr>
            <w:tcW w:w="4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Form of Common Stock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333-04238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6/26/1996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14">
              <w:r>
                <w:rPr>
                  <w:rStyle w:val="InternetLink"/>
                  <w:rFonts w:ascii="Times New Roman;serif" w:hAnsi="Times New Roman;serif"/>
                  <w:b w:val="false"/>
                  <w:color w:val="0000FF"/>
                  <w:sz w:val="20"/>
                  <w:u w:val="single"/>
                </w:rPr>
                <w:t>4.1</w:t>
              </w:r>
            </w:hyperlink>
          </w:p>
        </w:tc>
        <w:tc>
          <w:tcPr>
            <w:tcW w:w="40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Times New Roman;serif" w:hAnsi="Times New Roman;serif"/>
                  <w:b w:val="false"/>
                  <w:color w:val="0000FF"/>
                  <w:sz w:val="20"/>
                  <w:u w:val="single"/>
                </w:rPr>
                <w:t>Indenture, dated as of March 1, 2022, between FactSet Research Systems Inc. and U.S. Bank Trust Company, National Association, as trustee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001-11869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6">
              <w:r>
                <w:rPr>
                  <w:rStyle w:val="InternetLink"/>
                  <w:rFonts w:ascii="Times New Roman;serif" w:hAnsi="Times New Roman;serif"/>
                  <w:b w:val="false"/>
                  <w:color w:val="0000FF"/>
                  <w:sz w:val="20"/>
                  <w:u w:val="single"/>
                </w:rPr>
                <w:t>4.2</w:t>
              </w:r>
            </w:hyperlink>
          </w:p>
        </w:tc>
        <w:tc>
          <w:tcPr>
            <w:tcW w:w="40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Times New Roman;serif" w:hAnsi="Times New Roman;serif"/>
                  <w:b w:val="false"/>
                  <w:color w:val="0000FF"/>
                  <w:sz w:val="20"/>
                  <w:u w:val="single"/>
                </w:rPr>
                <w:t>Supplemental Indenture, dated as of March 1, 2022, between FactSet Research Systems Inc. and U.S. Bank Trust Company, National Association, as trustee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001-11869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18">
              <w:r>
                <w:rPr>
                  <w:rStyle w:val="InternetLink"/>
                  <w:rFonts w:ascii="Times New Roman;serif" w:hAnsi="Times New Roman;serif"/>
                  <w:b w:val="false"/>
                  <w:color w:val="0000FF"/>
                  <w:sz w:val="20"/>
                  <w:u w:val="single"/>
                </w:rPr>
                <w:t>4.3</w:t>
              </w:r>
            </w:hyperlink>
          </w:p>
        </w:tc>
        <w:tc>
          <w:tcPr>
            <w:tcW w:w="40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Times New Roman;serif" w:hAnsi="Times New Roman;serif"/>
                  <w:b w:val="false"/>
                  <w:color w:val="0000FF"/>
                  <w:sz w:val="20"/>
                  <w:u w:val="single"/>
                </w:rPr>
                <w:t>Form of 2.900% Global Note due 2027 (included in Exhibit A-1 to Exhibit 4.2 above)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001-11869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20">
              <w:r>
                <w:rPr>
                  <w:rStyle w:val="InternetLink"/>
                  <w:rFonts w:ascii="Times New Roman;serif" w:hAnsi="Times New Roman;serif"/>
                  <w:b w:val="false"/>
                  <w:color w:val="0000FF"/>
                  <w:sz w:val="20"/>
                  <w:u w:val="single"/>
                </w:rPr>
                <w:t>4.4</w:t>
              </w:r>
            </w:hyperlink>
          </w:p>
        </w:tc>
        <w:tc>
          <w:tcPr>
            <w:tcW w:w="40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1">
              <w:r>
                <w:rPr>
                  <w:rStyle w:val="InternetLink"/>
                  <w:rFonts w:ascii="Times New Roman;serif" w:hAnsi="Times New Roman;serif"/>
                  <w:b w:val="false"/>
                  <w:color w:val="0000FF"/>
                  <w:sz w:val="20"/>
                  <w:u w:val="single"/>
                </w:rPr>
                <w:t>Form of 3.450% Global Note due 2032 (included in Exhibit A-2 to Exhibit 4.2 above)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001-11869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d93253b6c6d743009d916199362386a6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10"/>
        <w:gridCol w:w="185"/>
        <w:gridCol w:w="191"/>
        <w:gridCol w:w="1664"/>
        <w:gridCol w:w="1428"/>
        <w:gridCol w:w="1432"/>
        <w:gridCol w:w="109"/>
        <w:gridCol w:w="109"/>
        <w:gridCol w:w="109"/>
        <w:gridCol w:w="296"/>
        <w:gridCol w:w="219"/>
        <w:gridCol w:w="203"/>
        <w:gridCol w:w="109"/>
        <w:gridCol w:w="109"/>
        <w:gridCol w:w="109"/>
        <w:gridCol w:w="324"/>
        <w:gridCol w:w="237"/>
        <w:gridCol w:w="238"/>
        <w:gridCol w:w="109"/>
        <w:gridCol w:w="109"/>
        <w:gridCol w:w="109"/>
        <w:gridCol w:w="314"/>
        <w:gridCol w:w="314"/>
        <w:gridCol w:w="318"/>
        <w:gridCol w:w="109"/>
        <w:gridCol w:w="109"/>
        <w:gridCol w:w="109"/>
        <w:gridCol w:w="205"/>
        <w:gridCol w:w="205"/>
        <w:gridCol w:w="206"/>
        <w:gridCol w:w="109"/>
        <w:gridCol w:w="109"/>
        <w:gridCol w:w="109"/>
        <w:gridCol w:w="109"/>
        <w:gridCol w:w="109"/>
        <w:gridCol w:w="163"/>
      </w:tblGrid>
      <w:tr>
        <w:trPr/>
        <w:tc>
          <w:tcPr>
            <w:tcW w:w="2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fds-20260831xex45.htm">
              <w:r>
                <w:rPr>
                  <w:rStyle w:val="InternetLink"/>
                  <w:rFonts w:ascii="Times New Roman;serif" w:hAnsi="Times New Roman;serif"/>
                  <w:b w:val="false"/>
                  <w:color w:val="000080"/>
                  <w:sz w:val="20"/>
                  <w:u w:val="single"/>
                </w:rPr>
                <w:t>4</w:t>
              </w:r>
            </w:hyperlink>
            <w:hyperlink w:anchor="fds-20260831xex45.htm">
              <w:r>
                <w:rPr>
                  <w:rStyle w:val="InternetLink"/>
                  <w:rFonts w:ascii="Times New Roman;serif" w:hAnsi="Times New Roman;serif"/>
                  <w:b w:val="false"/>
                  <w:color w:val="000080"/>
                  <w:sz w:val="20"/>
                  <w:u w:val="single"/>
                </w:rPr>
                <w:t>.5</w:t>
              </w:r>
            </w:hyperlink>
          </w:p>
        </w:tc>
        <w:tc>
          <w:tcPr>
            <w:tcW w:w="45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fds-20260831xex45.htm">
              <w:r>
                <w:rPr>
                  <w:rStyle w:val="InternetLink"/>
                  <w:rFonts w:ascii="Times New Roman;serif" w:hAnsi="Times New Roman;serif"/>
                  <w:b w:val="false"/>
                  <w:color w:val="000080"/>
                  <w:sz w:val="20"/>
                  <w:u w:val="single"/>
                </w:rPr>
                <w:t>D</w:t>
              </w:r>
            </w:hyperlink>
            <w:hyperlink w:anchor="fds-20260831xex45.htm">
              <w:r>
                <w:rPr>
                  <w:rStyle w:val="InternetLink"/>
                  <w:rFonts w:ascii="Times New Roman;serif" w:hAnsi="Times New Roman;serif"/>
                  <w:b w:val="false"/>
                  <w:color w:val="000080"/>
                  <w:sz w:val="20"/>
                  <w:u w:val="single"/>
                </w:rPr>
                <w:t>escription of Registra</w:t>
              </w:r>
            </w:hyperlink>
            <w:hyperlink w:anchor="fds-20260831xex45.htm">
              <w:r>
                <w:rPr>
                  <w:rStyle w:val="InternetLink"/>
                  <w:rFonts w:ascii="Times New Roman;serif" w:hAnsi="Times New Roman;serif"/>
                  <w:b w:val="false"/>
                  <w:color w:val="000080"/>
                  <w:sz w:val="20"/>
                  <w:u w:val="single"/>
                </w:rPr>
                <w:t>nt</w:t>
              </w:r>
            </w:hyperlink>
            <w:hyperlink w:anchor="fds-20260831xex45.htm">
              <w:r>
                <w:rPr>
                  <w:rStyle w:val="InternetLink"/>
                  <w:rFonts w:ascii="Times New Roman;serif" w:hAnsi="Times New Roman;serif"/>
                  <w:b w:val="false"/>
                  <w:color w:val="000080"/>
                  <w:sz w:val="20"/>
                  <w:u w:val="single"/>
                </w:rPr>
                <w:t>'s Sec</w:t>
              </w:r>
            </w:hyperlink>
            <w:hyperlink w:anchor="fds-20260831xex45.htm">
              <w:r>
                <w:rPr>
                  <w:rStyle w:val="InternetLink"/>
                  <w:rFonts w:ascii="Times New Roman;serif" w:hAnsi="Times New Roman;serif"/>
                  <w:b w:val="false"/>
                  <w:color w:val="000080"/>
                  <w:sz w:val="20"/>
                  <w:u w:val="single"/>
                </w:rPr>
                <w:t>urities Registere</w:t>
              </w:r>
            </w:hyperlink>
            <w:hyperlink w:anchor="fds-20260831xex45.htm">
              <w:r>
                <w:rPr>
                  <w:rStyle w:val="InternetLink"/>
                  <w:rFonts w:ascii="Times New Roman;serif" w:hAnsi="Times New Roman;serif"/>
                  <w:b w:val="false"/>
                  <w:color w:val="000080"/>
                  <w:sz w:val="20"/>
                  <w:u w:val="single"/>
                </w:rPr>
                <w:t xml:space="preserve">d Pursuant to Section 12 of the Securities </w:t>
              </w:r>
            </w:hyperlink>
            <w:hyperlink w:anchor="fds-20260831xex45.htm">
              <w:r>
                <w:rPr>
                  <w:rStyle w:val="InternetLink"/>
                  <w:rFonts w:ascii="Times New Roman;serif" w:hAnsi="Times New Roman;serif"/>
                  <w:b w:val="false"/>
                  <w:color w:val="000080"/>
                  <w:sz w:val="20"/>
                  <w:u w:val="single"/>
                </w:rPr>
                <w:t>Exchange Act of 1934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22">
              <w:r>
                <w:rPr>
                  <w:rStyle w:val="InternetLink"/>
                  <w:rFonts w:ascii="Times New Roman;serif" w:hAnsi="Times New Roman;serif"/>
                  <w:b w:val="false"/>
                  <w:color w:val="0000FF"/>
                  <w:sz w:val="20"/>
                  <w:u w:val="single"/>
                </w:rPr>
                <w:t>10.1</w:t>
              </w:r>
            </w:hyperlink>
          </w:p>
        </w:tc>
        <w:tc>
          <w:tcPr>
            <w:tcW w:w="45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3">
              <w:r>
                <w:rPr>
                  <w:rStyle w:val="InternetLink"/>
                  <w:rFonts w:ascii="Times New Roman;serif" w:hAnsi="Times New Roman;serif"/>
                  <w:b w:val="false"/>
                  <w:color w:val="0000FF"/>
                  <w:sz w:val="20"/>
                  <w:u w:val="single"/>
                </w:rPr>
                <w:t>FactSet Research Systems Inc. 2004 Employee Stock Option and Award Plan</w:t>
              </w:r>
            </w:hyperlink>
            <w:hyperlink r:id="rId24">
              <w:r>
                <w:rPr>
                  <w:rStyle w:val="InternetLink"/>
                  <w:rFonts w:ascii="Times New Roman;serif" w:hAnsi="Times New Roman;serif"/>
                  <w:b w:val="false"/>
                  <w:color w:val="0000FF"/>
                  <w:sz w:val="13"/>
                </w:rPr>
                <w:t>(1)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DEF-14A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001-11869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11/10/2004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fldChar w:fldCharType="begin"/>
            </w:r>
            <w:r>
              <w:rPr>
                <w:rStyle w:val="InternetLink"/>
                <w:sz w:val="20"/>
                <w:u w:val="single"/>
                <w:b w:val="false"/>
                <w:rFonts w:ascii="Times New Roman;serif" w:hAnsi="Times New Roman;serif"/>
                <w:color w:val="0000FF"/>
              </w:rPr>
              <w:instrText xml:space="preserve"> HYPERLINK "https://www.sec.gov/Archives/edgar/data/1013237/000119312510274624/ddefr14a.htm" \l "tx105689_29"</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10.2</w:t>
            </w:r>
            <w:r>
              <w:rPr>
                <w:rStyle w:val="InternetLink"/>
                <w:sz w:val="20"/>
                <w:u w:val="single"/>
                <w:b w:val="false"/>
                <w:rFonts w:ascii="Times New Roman;serif" w:hAnsi="Times New Roman;serif"/>
                <w:color w:val="0000FF"/>
              </w:rPr>
              <w:fldChar w:fldCharType="end"/>
            </w:r>
          </w:p>
        </w:tc>
        <w:tc>
          <w:tcPr>
            <w:tcW w:w="45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"https://www.sec.gov/Archives/edgar/data/1013237/000119312510274624/ddefr14a.htm" \l "tx105689_29"</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FactSet Research Systems Inc. 2004 Stock Option and Award Plan, as Amended and Restated</w:t>
            </w:r>
            <w:r>
              <w:rPr>
                <w:rStyle w:val="InternetLink"/>
                <w:sz w:val="20"/>
                <w:u w:val="single"/>
                <w:b w:val="false"/>
                <w:rFonts w:ascii="Times New Roman;serif" w:hAnsi="Times New Roman;serif"/>
                <w:color w:val="0000FF"/>
              </w:rPr>
              <w:fldChar w:fldCharType="end"/>
            </w:r>
            <w:r>
              <w:fldChar w:fldCharType="begin"/>
            </w:r>
            <w:r>
              <w:rPr>
                <w:rStyle w:val="InternetLink"/>
                <w:sz w:val="13"/>
                <w:b w:val="false"/>
                <w:rFonts w:ascii="Times New Roman;serif" w:hAnsi="Times New Roman;serif"/>
                <w:color w:val="0000FF"/>
              </w:rPr>
              <w:instrText xml:space="preserve"> HYPERLINK "https://www.sec.gov/Archives/edgar/data/1013237/000119312510274624/ddefr14a.htm" \l "tx105689_29"</w:instrText>
            </w:r>
            <w:r>
              <w:rPr>
                <w:rStyle w:val="InternetLink"/>
                <w:sz w:val="13"/>
                <w:b w:val="false"/>
                <w:rFonts w:ascii="Times New Roman;serif" w:hAnsi="Times New Roman;serif"/>
                <w:color w:val="0000FF"/>
              </w:rPr>
              <w:fldChar w:fldCharType="separate"/>
            </w:r>
            <w:r>
              <w:rPr>
                <w:rStyle w:val="InternetLink"/>
                <w:rFonts w:ascii="Times New Roman;serif" w:hAnsi="Times New Roman;serif"/>
                <w:b w:val="false"/>
                <w:color w:val="0000FF"/>
                <w:sz w:val="13"/>
              </w:rPr>
              <w:t>(1)</w:t>
            </w:r>
            <w:r>
              <w:rPr>
                <w:rStyle w:val="InternetLink"/>
                <w:sz w:val="13"/>
                <w:b w:val="false"/>
                <w:rFonts w:ascii="Times New Roman;serif" w:hAnsi="Times New Roman;serif"/>
                <w:color w:val="0000FF"/>
              </w:rPr>
              <w:fldChar w:fldCharType="end"/>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DEFR-14A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001-11869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Appendix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25">
              <w:r>
                <w:rPr>
                  <w:rStyle w:val="InternetLink"/>
                  <w:rFonts w:ascii="Times New Roman;serif" w:hAnsi="Times New Roman;serif"/>
                  <w:b w:val="false"/>
                  <w:color w:val="0000FF"/>
                  <w:sz w:val="20"/>
                  <w:u w:val="single"/>
                </w:rPr>
                <w:t>10.3</w:t>
              </w:r>
            </w:hyperlink>
          </w:p>
        </w:tc>
        <w:tc>
          <w:tcPr>
            <w:tcW w:w="45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6">
              <w:r>
                <w:rPr>
                  <w:rStyle w:val="InternetLink"/>
                  <w:rFonts w:ascii="Times New Roman;serif" w:hAnsi="Times New Roman;serif"/>
                  <w:b w:val="false"/>
                  <w:color w:val="0000FF"/>
                  <w:sz w:val="20"/>
                  <w:u w:val="single"/>
                </w:rPr>
                <w:t>FactSet Research Systems Inc. Stock Option and Award Plan as Amended and Restated</w:t>
              </w:r>
            </w:hyperlink>
            <w:hyperlink r:id="rId27">
              <w:r>
                <w:rPr>
                  <w:rStyle w:val="InternetLink"/>
                  <w:rFonts w:ascii="Times New Roman;serif" w:hAnsi="Times New Roman;serif"/>
                  <w:b w:val="false"/>
                  <w:color w:val="0000FF"/>
                  <w:sz w:val="13"/>
                </w:rPr>
                <w:t>(1)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001-11869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fldChar w:fldCharType="begin"/>
            </w:r>
            <w:r>
              <w:rPr>
                <w:rStyle w:val="InternetLink"/>
                <w:sz w:val="20"/>
                <w:u w:val="single"/>
                <w:b w:val="false"/>
                <w:rFonts w:ascii="Times New Roman;serif" w:hAnsi="Times New Roman;serif"/>
                <w:color w:val="0000FF"/>
              </w:rPr>
              <w:instrText xml:space="preserve"> HYPERLINK "https://www.sec.gov/Archives/edgar/data/1013237/000119312508220394/ddef14a.htm" \l "tx59473_27"</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10.4</w:t>
            </w:r>
            <w:r>
              <w:rPr>
                <w:rStyle w:val="InternetLink"/>
                <w:sz w:val="20"/>
                <w:u w:val="single"/>
                <w:b w:val="false"/>
                <w:rFonts w:ascii="Times New Roman;serif" w:hAnsi="Times New Roman;serif"/>
                <w:color w:val="0000FF"/>
              </w:rPr>
              <w:fldChar w:fldCharType="end"/>
            </w:r>
          </w:p>
        </w:tc>
        <w:tc>
          <w:tcPr>
            <w:tcW w:w="45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"https://www.sec.gov/Archives/edgar/data/1013237/000119312508220394/ddef14a.htm" \l "tx59473_27"</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FactSet Research Systems Inc. 2008 Non-Employee Directors’ Stock Option Plan</w:t>
            </w:r>
            <w:r>
              <w:rPr>
                <w:rStyle w:val="InternetLink"/>
                <w:sz w:val="20"/>
                <w:u w:val="single"/>
                <w:b w:val="false"/>
                <w:rFonts w:ascii="Times New Roman;serif" w:hAnsi="Times New Roman;serif"/>
                <w:color w:val="0000FF"/>
              </w:rPr>
              <w:fldChar w:fldCharType="end"/>
            </w:r>
            <w:r>
              <w:fldChar w:fldCharType="begin"/>
            </w:r>
            <w:r>
              <w:rPr>
                <w:rStyle w:val="InternetLink"/>
                <w:sz w:val="13"/>
                <w:b w:val="false"/>
                <w:rFonts w:ascii="Times New Roman;serif" w:hAnsi="Times New Roman;serif"/>
                <w:color w:val="0000FF"/>
              </w:rPr>
              <w:instrText xml:space="preserve"> HYPERLINK "https://www.sec.gov/Archives/edgar/data/1013237/000119312508220394/ddef14a.htm" \l "tx59473_27"</w:instrText>
            </w:r>
            <w:r>
              <w:rPr>
                <w:rStyle w:val="InternetLink"/>
                <w:sz w:val="13"/>
                <w:b w:val="false"/>
                <w:rFonts w:ascii="Times New Roman;serif" w:hAnsi="Times New Roman;serif"/>
                <w:color w:val="0000FF"/>
              </w:rPr>
              <w:fldChar w:fldCharType="separate"/>
            </w:r>
            <w:r>
              <w:rPr>
                <w:rStyle w:val="InternetLink"/>
                <w:rFonts w:ascii="Times New Roman;serif" w:hAnsi="Times New Roman;serif"/>
                <w:b w:val="false"/>
                <w:color w:val="0000FF"/>
                <w:sz w:val="13"/>
              </w:rPr>
              <w:t>(1)</w:t>
            </w:r>
            <w:r>
              <w:rPr>
                <w:rStyle w:val="InternetLink"/>
                <w:sz w:val="13"/>
                <w:b w:val="false"/>
                <w:rFonts w:ascii="Times New Roman;serif" w:hAnsi="Times New Roman;serif"/>
                <w:color w:val="0000FF"/>
              </w:rPr>
              <w:fldChar w:fldCharType="end"/>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DEF-14A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001-11869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Appendix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10/30/2008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28">
              <w:r>
                <w:rPr>
                  <w:rStyle w:val="InternetLink"/>
                  <w:rFonts w:ascii="Times New Roman;serif" w:hAnsi="Times New Roman;serif"/>
                  <w:b w:val="false"/>
                  <w:color w:val="0000FF"/>
                  <w:sz w:val="20"/>
                  <w:u w:val="single"/>
                </w:rPr>
                <w:t>10.5</w:t>
              </w:r>
            </w:hyperlink>
          </w:p>
        </w:tc>
        <w:tc>
          <w:tcPr>
            <w:tcW w:w="45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9">
              <w:r>
                <w:rPr>
                  <w:rStyle w:val="InternetLink"/>
                  <w:rFonts w:ascii="Times New Roman;serif" w:hAnsi="Times New Roman;serif"/>
                  <w:b w:val="false"/>
                  <w:color w:val="0000FF"/>
                  <w:sz w:val="20"/>
                  <w:u w:val="single"/>
                </w:rPr>
                <w:t>FactSet Research Systems Inc. Non-Employee Directors’ Stock Option and Award Plan, as Amended and Restated</w:t>
              </w:r>
            </w:hyperlink>
            <w:hyperlink r:id="rId30">
              <w:r>
                <w:rPr>
                  <w:rStyle w:val="InternetLink"/>
                  <w:rFonts w:ascii="Times New Roman;serif" w:hAnsi="Times New Roman;serif"/>
                  <w:b w:val="false"/>
                  <w:color w:val="0000FF"/>
                  <w:sz w:val="13"/>
                </w:rPr>
                <w:t>(1)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001-11869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31">
              <w:r>
                <w:rPr>
                  <w:rStyle w:val="InternetLink"/>
                  <w:rFonts w:ascii="Times New Roman;serif" w:hAnsi="Times New Roman;serif"/>
                  <w:b w:val="false"/>
                  <w:color w:val="0000FF"/>
                  <w:sz w:val="20"/>
                  <w:u w:val="single"/>
                </w:rPr>
                <w:t>10.6</w:t>
              </w:r>
            </w:hyperlink>
          </w:p>
        </w:tc>
        <w:tc>
          <w:tcPr>
            <w:tcW w:w="45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2">
              <w:r>
                <w:rPr>
                  <w:rStyle w:val="InternetLink"/>
                  <w:rFonts w:ascii="Times New Roman;serif" w:hAnsi="Times New Roman;serif"/>
                  <w:b w:val="false"/>
                  <w:color w:val="000080"/>
                  <w:sz w:val="20"/>
                  <w:u w:val="single"/>
                </w:rPr>
                <w:t>F</w:t>
              </w:r>
            </w:hyperlink>
            <w:hyperlink r:id="rId33">
              <w:r>
                <w:rPr>
                  <w:rStyle w:val="InternetLink"/>
                  <w:rFonts w:ascii="Times New Roman;serif" w:hAnsi="Times New Roman;serif"/>
                  <w:b w:val="false"/>
                  <w:color w:val="000080"/>
                  <w:sz w:val="20"/>
                  <w:u w:val="single"/>
                </w:rPr>
                <w:t>actSet Research Systems Inc. 2025 Omnibus Incentive Plan</w:t>
              </w:r>
            </w:hyperlink>
            <w:r>
              <w:rPr>
                <w:rFonts w:ascii="Times New Roman;serif" w:hAnsi="Times New Roman;serif"/>
                <w:b w:val="false"/>
                <w:color w:val="0000FF"/>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333-292658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34">
              <w:r>
                <w:rPr>
                  <w:rStyle w:val="InternetLink"/>
                  <w:rFonts w:ascii="Times New Roman;serif" w:hAnsi="Times New Roman;serif"/>
                  <w:b w:val="false"/>
                  <w:color w:val="000080"/>
                  <w:sz w:val="20"/>
                  <w:u w:val="single"/>
                </w:rPr>
                <w:t>1</w:t>
              </w:r>
            </w:hyperlink>
            <w:hyperlink r:id="rId35">
              <w:r>
                <w:rPr>
                  <w:rStyle w:val="InternetLink"/>
                  <w:rFonts w:ascii="Times New Roman;serif" w:hAnsi="Times New Roman;serif"/>
                  <w:b w:val="false"/>
                  <w:color w:val="000080"/>
                  <w:sz w:val="20"/>
                  <w:u w:val="single"/>
                </w:rPr>
                <w:t>0.</w:t>
              </w:r>
            </w:hyperlink>
            <w:hyperlink r:id="rId36">
              <w:r>
                <w:rPr>
                  <w:rStyle w:val="InternetLink"/>
                  <w:rFonts w:ascii="Times New Roman;serif" w:hAnsi="Times New Roman;serif"/>
                  <w:b w:val="false"/>
                  <w:color w:val="000080"/>
                  <w:sz w:val="20"/>
                  <w:u w:val="single"/>
                </w:rPr>
                <w:t>7</w:t>
              </w:r>
            </w:hyperlink>
          </w:p>
        </w:tc>
        <w:tc>
          <w:tcPr>
            <w:tcW w:w="45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7">
              <w:r>
                <w:rPr>
                  <w:rStyle w:val="InternetLink"/>
                  <w:rFonts w:ascii="Times New Roman;serif" w:hAnsi="Times New Roman;serif"/>
                  <w:b w:val="false"/>
                  <w:color w:val="000080"/>
                  <w:sz w:val="20"/>
                  <w:u w:val="single"/>
                </w:rPr>
                <w:t>F</w:t>
              </w:r>
            </w:hyperlink>
            <w:hyperlink r:id="rId38">
              <w:r>
                <w:rPr>
                  <w:rStyle w:val="InternetLink"/>
                  <w:rFonts w:ascii="Times New Roman;serif" w:hAnsi="Times New Roman;serif"/>
                  <w:b w:val="false"/>
                  <w:color w:val="000080"/>
                  <w:sz w:val="20"/>
                  <w:u w:val="single"/>
                </w:rPr>
                <w:t>orm Res</w:t>
              </w:r>
            </w:hyperlink>
            <w:hyperlink r:id="rId39">
              <w:r>
                <w:rPr>
                  <w:rStyle w:val="InternetLink"/>
                  <w:rFonts w:ascii="Times New Roman;serif" w:hAnsi="Times New Roman;serif"/>
                  <w:b w:val="false"/>
                  <w:color w:val="000080"/>
                  <w:sz w:val="20"/>
                  <w:u w:val="single"/>
                </w:rPr>
                <w:t>tricted Share Unit Award Agreement</w:t>
              </w:r>
            </w:hyperlink>
            <w:r>
              <w:rPr>
                <w:rFonts w:ascii="Times New Roman;serif" w:hAnsi="Times New Roman;serif"/>
                <w:b w:val="false"/>
                <w:color w:val="0000FF"/>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001-11869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40">
              <w:r>
                <w:rPr>
                  <w:rStyle w:val="InternetLink"/>
                  <w:rFonts w:ascii="Times New Roman;serif" w:hAnsi="Times New Roman;serif"/>
                  <w:b w:val="false"/>
                  <w:color w:val="000080"/>
                  <w:sz w:val="20"/>
                  <w:u w:val="single"/>
                </w:rPr>
                <w:t>1</w:t>
              </w:r>
            </w:hyperlink>
            <w:hyperlink r:id="rId41">
              <w:r>
                <w:rPr>
                  <w:rStyle w:val="InternetLink"/>
                  <w:rFonts w:ascii="Times New Roman;serif" w:hAnsi="Times New Roman;serif"/>
                  <w:b w:val="false"/>
                  <w:color w:val="000080"/>
                  <w:sz w:val="20"/>
                  <w:u w:val="single"/>
                </w:rPr>
                <w:t>0</w:t>
              </w:r>
            </w:hyperlink>
            <w:hyperlink r:id="rId42">
              <w:r>
                <w:rPr>
                  <w:rStyle w:val="InternetLink"/>
                  <w:rFonts w:ascii="Times New Roman;serif" w:hAnsi="Times New Roman;serif"/>
                  <w:b w:val="false"/>
                  <w:color w:val="000080"/>
                  <w:sz w:val="20"/>
                  <w:u w:val="single"/>
                </w:rPr>
                <w:t>.</w:t>
              </w:r>
            </w:hyperlink>
            <w:hyperlink r:id="rId43">
              <w:r>
                <w:rPr>
                  <w:rStyle w:val="InternetLink"/>
                  <w:rFonts w:ascii="Times New Roman;serif" w:hAnsi="Times New Roman;serif"/>
                  <w:b w:val="false"/>
                  <w:color w:val="000080"/>
                  <w:sz w:val="20"/>
                  <w:u w:val="single"/>
                </w:rPr>
                <w:t>8</w:t>
              </w:r>
            </w:hyperlink>
          </w:p>
        </w:tc>
        <w:tc>
          <w:tcPr>
            <w:tcW w:w="45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44">
              <w:r>
                <w:rPr>
                  <w:rStyle w:val="InternetLink"/>
                  <w:rFonts w:ascii="Times New Roman;serif" w:hAnsi="Times New Roman;serif"/>
                  <w:b w:val="false"/>
                  <w:color w:val="000080"/>
                  <w:sz w:val="20"/>
                  <w:u w:val="single"/>
                </w:rPr>
                <w:t>F</w:t>
              </w:r>
            </w:hyperlink>
            <w:hyperlink r:id="rId45">
              <w:r>
                <w:rPr>
                  <w:rStyle w:val="InternetLink"/>
                  <w:rFonts w:ascii="Times New Roman;serif" w:hAnsi="Times New Roman;serif"/>
                  <w:b w:val="false"/>
                  <w:color w:val="000080"/>
                  <w:sz w:val="20"/>
                  <w:u w:val="single"/>
                </w:rPr>
                <w:t xml:space="preserve">orm </w:t>
              </w:r>
            </w:hyperlink>
            <w:hyperlink r:id="rId46">
              <w:r>
                <w:rPr>
                  <w:rStyle w:val="InternetLink"/>
                  <w:rFonts w:ascii="Times New Roman;serif" w:hAnsi="Times New Roman;serif"/>
                  <w:b w:val="false"/>
                  <w:color w:val="000080"/>
                  <w:sz w:val="20"/>
                  <w:u w:val="single"/>
                </w:rPr>
                <w:t>Stock Option Award Agreement</w:t>
              </w:r>
            </w:hyperlink>
            <w:r>
              <w:rPr>
                <w:rFonts w:ascii="Times New Roman;serif" w:hAnsi="Times New Roman;serif"/>
                <w:b w:val="false"/>
                <w:color w:val="0000FF"/>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001-11869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47">
              <w:r>
                <w:rPr>
                  <w:rStyle w:val="InternetLink"/>
                  <w:rFonts w:ascii="Times New Roman;serif" w:hAnsi="Times New Roman;serif"/>
                  <w:b w:val="false"/>
                  <w:color w:val="000080"/>
                  <w:sz w:val="20"/>
                  <w:u w:val="single"/>
                </w:rPr>
                <w:t>1</w:t>
              </w:r>
            </w:hyperlink>
            <w:hyperlink r:id="rId48">
              <w:r>
                <w:rPr>
                  <w:rStyle w:val="InternetLink"/>
                  <w:rFonts w:ascii="Times New Roman;serif" w:hAnsi="Times New Roman;serif"/>
                  <w:b w:val="false"/>
                  <w:color w:val="000080"/>
                  <w:sz w:val="20"/>
                  <w:u w:val="single"/>
                </w:rPr>
                <w:t>0</w:t>
              </w:r>
            </w:hyperlink>
            <w:hyperlink r:id="rId49">
              <w:r>
                <w:rPr>
                  <w:rStyle w:val="InternetLink"/>
                  <w:rFonts w:ascii="Times New Roman;serif" w:hAnsi="Times New Roman;serif"/>
                  <w:b w:val="false"/>
                  <w:color w:val="000080"/>
                  <w:sz w:val="20"/>
                  <w:u w:val="single"/>
                </w:rPr>
                <w:t>.</w:t>
              </w:r>
            </w:hyperlink>
            <w:hyperlink r:id="rId50">
              <w:r>
                <w:rPr>
                  <w:rStyle w:val="InternetLink"/>
                  <w:rFonts w:ascii="Times New Roman;serif" w:hAnsi="Times New Roman;serif"/>
                  <w:b w:val="false"/>
                  <w:color w:val="000080"/>
                  <w:sz w:val="20"/>
                  <w:u w:val="single"/>
                </w:rPr>
                <w:t>9</w:t>
              </w:r>
            </w:hyperlink>
          </w:p>
        </w:tc>
        <w:tc>
          <w:tcPr>
            <w:tcW w:w="45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51">
              <w:r>
                <w:rPr>
                  <w:rStyle w:val="InternetLink"/>
                  <w:rFonts w:ascii="Times New Roman;serif" w:hAnsi="Times New Roman;serif"/>
                  <w:b w:val="false"/>
                  <w:color w:val="000080"/>
                  <w:sz w:val="20"/>
                  <w:u w:val="single"/>
                </w:rPr>
                <w:t>F</w:t>
              </w:r>
            </w:hyperlink>
            <w:hyperlink r:id="rId52">
              <w:r>
                <w:rPr>
                  <w:rStyle w:val="InternetLink"/>
                  <w:rFonts w:ascii="Times New Roman;serif" w:hAnsi="Times New Roman;serif"/>
                  <w:b w:val="false"/>
                  <w:color w:val="000080"/>
                  <w:sz w:val="20"/>
                  <w:u w:val="single"/>
                </w:rPr>
                <w:t>orm Performance Share Unit Award Agreement</w:t>
              </w:r>
            </w:hyperlink>
            <w:hyperlink r:id="rId53">
              <w:r>
                <w:rPr>
                  <w:rStyle w:val="InternetLink"/>
                  <w:rFonts w:ascii="Times New Roman;serif" w:hAnsi="Times New Roman;serif"/>
                  <w:b w:val="false"/>
                  <w:color w:val="0000FF"/>
                  <w:sz w:val="13"/>
                  <w:u w:val="single"/>
                </w:rPr>
                <w:t>(</w:t>
              </w:r>
            </w:hyperlink>
            <w:r>
              <w:rPr>
                <w:rFonts w:ascii="Times New Roman;serif" w:hAnsi="Times New Roman;serif"/>
                <w:b w:val="false"/>
                <w:color w:val="0000FF"/>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001-11869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54">
              <w:r>
                <w:rPr>
                  <w:rStyle w:val="InternetLink"/>
                  <w:rFonts w:ascii="Times New Roman;serif" w:hAnsi="Times New Roman;serif"/>
                  <w:b w:val="false"/>
                  <w:color w:val="000080"/>
                  <w:sz w:val="20"/>
                  <w:u w:val="single"/>
                </w:rPr>
                <w:t>10</w:t>
              </w:r>
            </w:hyperlink>
            <w:hyperlink r:id="rId55">
              <w:r>
                <w:rPr>
                  <w:rStyle w:val="InternetLink"/>
                  <w:rFonts w:ascii="Times New Roman;serif" w:hAnsi="Times New Roman;serif"/>
                  <w:b w:val="false"/>
                  <w:color w:val="000080"/>
                  <w:sz w:val="20"/>
                  <w:u w:val="single"/>
                </w:rPr>
                <w:t>.1</w:t>
              </w:r>
            </w:hyperlink>
            <w:hyperlink r:id="rId56">
              <w:r>
                <w:rPr>
                  <w:rStyle w:val="InternetLink"/>
                  <w:rFonts w:ascii="Times New Roman;serif" w:hAnsi="Times New Roman;serif"/>
                  <w:b w:val="false"/>
                  <w:color w:val="000080"/>
                  <w:sz w:val="20"/>
                  <w:u w:val="single"/>
                </w:rPr>
                <w:t>0</w:t>
              </w:r>
            </w:hyperlink>
          </w:p>
        </w:tc>
        <w:tc>
          <w:tcPr>
            <w:tcW w:w="45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57">
              <w:r>
                <w:rPr>
                  <w:rStyle w:val="InternetLink"/>
                  <w:rFonts w:ascii="Times New Roman;serif" w:hAnsi="Times New Roman;serif"/>
                  <w:b w:val="false"/>
                  <w:color w:val="0000FF"/>
                  <w:sz w:val="20"/>
                  <w:u w:val="single"/>
                </w:rPr>
                <w:t>FactSet Research Systems Inc. Executive Severance Plan</w:t>
              </w:r>
            </w:hyperlink>
            <w:hyperlink r:id="rId58">
              <w:r>
                <w:rPr>
                  <w:rStyle w:val="InternetLink"/>
                  <w:rFonts w:ascii="Times New Roman;serif" w:hAnsi="Times New Roman;serif"/>
                  <w:b w:val="false"/>
                  <w:color w:val="0000FF"/>
                  <w:sz w:val="13"/>
                </w:rPr>
                <w:t>(1)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001-11869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59">
              <w:r>
                <w:rPr>
                  <w:rStyle w:val="InternetLink"/>
                  <w:rFonts w:ascii="Times New Roman;serif" w:hAnsi="Times New Roman;serif"/>
                  <w:b w:val="false"/>
                  <w:color w:val="0000FF"/>
                  <w:sz w:val="20"/>
                  <w:u w:val="single"/>
                </w:rPr>
                <w:t>10.11</w:t>
              </w:r>
            </w:hyperlink>
          </w:p>
        </w:tc>
        <w:tc>
          <w:tcPr>
            <w:tcW w:w="45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60">
              <w:r>
                <w:rPr>
                  <w:rStyle w:val="InternetLink"/>
                  <w:rFonts w:ascii="Times New Roman;serif" w:hAnsi="Times New Roman;serif"/>
                  <w:b w:val="false"/>
                  <w:color w:val="000080"/>
                  <w:sz w:val="20"/>
                  <w:u w:val="single"/>
                </w:rPr>
                <w:t>Form of FactSet Research</w:t>
              </w:r>
            </w:hyperlink>
            <w:hyperlink r:id="rId61">
              <w:r>
                <w:rPr>
                  <w:rStyle w:val="InternetLink"/>
                  <w:rFonts w:ascii="Times New Roman;serif" w:hAnsi="Times New Roman;serif"/>
                  <w:b w:val="false"/>
                  <w:color w:val="000080"/>
                  <w:sz w:val="20"/>
                  <w:u w:val="single"/>
                </w:rPr>
                <w:t xml:space="preserve"> Systems</w:t>
              </w:r>
            </w:hyperlink>
            <w:hyperlink r:id="rId62">
              <w:r>
                <w:rPr>
                  <w:rStyle w:val="InternetLink"/>
                  <w:rFonts w:ascii="Times New Roman;serif" w:hAnsi="Times New Roman;serif"/>
                  <w:b w:val="false"/>
                  <w:color w:val="000080"/>
                  <w:sz w:val="20"/>
                  <w:u w:val="single"/>
                </w:rPr>
                <w:t xml:space="preserve"> Inc. Equity Award Agreement</w:t>
              </w:r>
            </w:hyperlink>
            <w:hyperlink r:id="rId63">
              <w:r>
                <w:rPr>
                  <w:rStyle w:val="InternetLink"/>
                  <w:rFonts w:ascii="Times New Roman;serif" w:hAnsi="Times New Roman;serif"/>
                  <w:b w:val="false"/>
                  <w:color w:val="0000FF"/>
                  <w:sz w:val="13"/>
                </w:rPr>
                <w:t>(1)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001-11869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64">
              <w:r>
                <w:rPr>
                  <w:rStyle w:val="InternetLink"/>
                  <w:rFonts w:ascii="Times New Roman;serif" w:hAnsi="Times New Roman;serif"/>
                  <w:b w:val="false"/>
                  <w:color w:val="0000FF"/>
                  <w:sz w:val="20"/>
                  <w:u w:val="single"/>
                </w:rPr>
                <w:t>10.12</w:t>
              </w:r>
            </w:hyperlink>
          </w:p>
        </w:tc>
        <w:tc>
          <w:tcPr>
            <w:tcW w:w="45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65">
              <w:r>
                <w:rPr>
                  <w:rStyle w:val="InternetLink"/>
                  <w:rFonts w:ascii="Times New Roman;serif" w:hAnsi="Times New Roman;serif"/>
                  <w:b w:val="false"/>
                  <w:color w:val="000080"/>
                  <w:sz w:val="20"/>
                  <w:u w:val="single"/>
                </w:rPr>
                <w:t>F</w:t>
              </w:r>
            </w:hyperlink>
            <w:hyperlink r:id="rId66">
              <w:r>
                <w:rPr>
                  <w:rStyle w:val="InternetLink"/>
                  <w:rFonts w:ascii="Times New Roman;serif" w:hAnsi="Times New Roman;serif"/>
                  <w:b w:val="false"/>
                  <w:color w:val="000080"/>
                  <w:sz w:val="20"/>
                  <w:u w:val="single"/>
                </w:rPr>
                <w:t xml:space="preserve">orm of Equity Award Letter Agreement (Omnibus </w:t>
              </w:r>
            </w:hyperlink>
            <w:hyperlink r:id="rId67">
              <w:r>
                <w:rPr>
                  <w:rStyle w:val="InternetLink"/>
                  <w:rFonts w:ascii="Times New Roman;serif" w:hAnsi="Times New Roman;serif"/>
                  <w:b w:val="false"/>
                  <w:color w:val="000080"/>
                  <w:sz w:val="20"/>
                  <w:u w:val="single"/>
                </w:rPr>
                <w:t>Plan</w:t>
              </w:r>
            </w:hyperlink>
            <w:hyperlink r:id="rId68">
              <w:r>
                <w:rPr>
                  <w:rStyle w:val="InternetLink"/>
                  <w:rFonts w:ascii="Times New Roman;serif" w:hAnsi="Times New Roman;serif"/>
                  <w:b w:val="false"/>
                  <w:color w:val="000080"/>
                  <w:sz w:val="20"/>
                  <w:u w:val="single"/>
                </w:rPr>
                <w:t>)</w:t>
              </w:r>
            </w:hyperlink>
            <w:r>
              <w:rPr>
                <w:rFonts w:ascii="Times New Roman;serif" w:hAnsi="Times New Roman;serif"/>
                <w:b w:val="false"/>
                <w:color w:val="0000FF"/>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001-11869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69">
              <w:r>
                <w:rPr>
                  <w:rStyle w:val="InternetLink"/>
                  <w:rFonts w:ascii="Times New Roman;serif" w:hAnsi="Times New Roman;serif"/>
                  <w:b w:val="false"/>
                  <w:color w:val="0000FF"/>
                  <w:sz w:val="20"/>
                  <w:u w:val="single"/>
                </w:rPr>
                <w:t>10.13</w:t>
              </w:r>
            </w:hyperlink>
          </w:p>
        </w:tc>
        <w:tc>
          <w:tcPr>
            <w:tcW w:w="45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70">
              <w:r>
                <w:rPr>
                  <w:rStyle w:val="InternetLink"/>
                  <w:rFonts w:ascii="Times New Roman;serif" w:hAnsi="Times New Roman;serif"/>
                  <w:b w:val="false"/>
                  <w:color w:val="0000FF"/>
                  <w:sz w:val="20"/>
                  <w:u w:val="single"/>
                </w:rPr>
                <w:t>Credit Agreement dated April 8, 2025, among FactSet Research Systems Inc., the borrowing subsidiaries from time to time party thereto, the lenders from time to time party thereto, and PNC Bank, National Association, as the administrative agent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001-11869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71">
              <w:r>
                <w:rPr>
                  <w:rStyle w:val="InternetLink"/>
                  <w:rFonts w:ascii="Times New Roman;serif" w:hAnsi="Times New Roman;serif"/>
                  <w:b w:val="false"/>
                  <w:color w:val="000080"/>
                  <w:sz w:val="20"/>
                  <w:u w:val="single"/>
                </w:rPr>
                <w:t>1</w:t>
              </w:r>
            </w:hyperlink>
            <w:hyperlink r:id="rId72">
              <w:r>
                <w:rPr>
                  <w:rStyle w:val="InternetLink"/>
                  <w:rFonts w:ascii="Times New Roman;serif" w:hAnsi="Times New Roman;serif"/>
                  <w:b w:val="false"/>
                  <w:color w:val="000080"/>
                  <w:sz w:val="20"/>
                  <w:u w:val="single"/>
                </w:rPr>
                <w:t>0</w:t>
              </w:r>
            </w:hyperlink>
            <w:hyperlink r:id="rId73">
              <w:r>
                <w:rPr>
                  <w:rStyle w:val="InternetLink"/>
                  <w:rFonts w:ascii="Times New Roman;serif" w:hAnsi="Times New Roman;serif"/>
                  <w:b w:val="false"/>
                  <w:color w:val="000080"/>
                  <w:sz w:val="20"/>
                  <w:u w:val="single"/>
                </w:rPr>
                <w:t>.14</w:t>
              </w:r>
            </w:hyperlink>
          </w:p>
        </w:tc>
        <w:tc>
          <w:tcPr>
            <w:tcW w:w="45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74">
              <w:r>
                <w:rPr>
                  <w:rStyle w:val="InternetLink"/>
                  <w:rFonts w:ascii="Times New Roman;serif" w:hAnsi="Times New Roman;serif"/>
                  <w:b w:val="false"/>
                  <w:color w:val="000080"/>
                  <w:sz w:val="20"/>
                  <w:u w:val="single"/>
                </w:rPr>
                <w:t>A</w:t>
              </w:r>
            </w:hyperlink>
            <w:hyperlink r:id="rId75">
              <w:r>
                <w:rPr>
                  <w:rStyle w:val="InternetLink"/>
                  <w:rFonts w:ascii="Times New Roman;serif" w:hAnsi="Times New Roman;serif"/>
                  <w:b w:val="false"/>
                  <w:color w:val="000080"/>
                  <w:sz w:val="20"/>
                  <w:u w:val="single"/>
                </w:rPr>
                <w:t xml:space="preserve">mendment No.1 dated August 28, 2026, among the Company, the lenders party thereto and PNC Bank, National </w:t>
              </w:r>
            </w:hyperlink>
            <w:hyperlink r:id="rId76">
              <w:r>
                <w:rPr>
                  <w:rStyle w:val="InternetLink"/>
                  <w:rFonts w:ascii="Times New Roman;serif" w:hAnsi="Times New Roman;serif"/>
                  <w:b w:val="false"/>
                  <w:color w:val="000080"/>
                  <w:sz w:val="20"/>
                  <w:u w:val="single"/>
                </w:rPr>
                <w:t>Association, as the administrative agent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001-11869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d93253b6c6d743009d916199362386a6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48"/>
        <w:gridCol w:w="217"/>
        <w:gridCol w:w="220"/>
        <w:gridCol w:w="1844"/>
        <w:gridCol w:w="1593"/>
        <w:gridCol w:w="1597"/>
        <w:gridCol w:w="109"/>
        <w:gridCol w:w="109"/>
        <w:gridCol w:w="109"/>
        <w:gridCol w:w="147"/>
        <w:gridCol w:w="145"/>
        <w:gridCol w:w="130"/>
        <w:gridCol w:w="109"/>
        <w:gridCol w:w="109"/>
        <w:gridCol w:w="109"/>
        <w:gridCol w:w="254"/>
        <w:gridCol w:w="254"/>
        <w:gridCol w:w="255"/>
        <w:gridCol w:w="109"/>
        <w:gridCol w:w="109"/>
        <w:gridCol w:w="109"/>
        <w:gridCol w:w="189"/>
        <w:gridCol w:w="189"/>
        <w:gridCol w:w="193"/>
        <w:gridCol w:w="109"/>
        <w:gridCol w:w="109"/>
        <w:gridCol w:w="109"/>
        <w:gridCol w:w="238"/>
        <w:gridCol w:w="238"/>
        <w:gridCol w:w="239"/>
        <w:gridCol w:w="109"/>
        <w:gridCol w:w="109"/>
        <w:gridCol w:w="109"/>
        <w:gridCol w:w="109"/>
        <w:gridCol w:w="109"/>
        <w:gridCol w:w="162"/>
      </w:tblGrid>
      <w:tr>
        <w:trPr/>
        <w:tc>
          <w:tcPr>
            <w:tcW w:w="24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77">
              <w:r>
                <w:rPr>
                  <w:rStyle w:val="InternetLink"/>
                  <w:rFonts w:ascii="Times New Roman;serif" w:hAnsi="Times New Roman;serif"/>
                  <w:b w:val="false"/>
                  <w:color w:val="0000FF"/>
                  <w:sz w:val="20"/>
                  <w:u w:val="single"/>
                </w:rPr>
                <w:t>10.15</w:t>
              </w:r>
            </w:hyperlink>
          </w:p>
        </w:tc>
        <w:tc>
          <w:tcPr>
            <w:tcW w:w="50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78">
              <w:r>
                <w:rPr>
                  <w:rStyle w:val="InternetLink"/>
                  <w:rFonts w:ascii="Times New Roman;serif" w:hAnsi="Times New Roman;serif"/>
                  <w:b w:val="false"/>
                  <w:color w:val="0000FF"/>
                  <w:sz w:val="20"/>
                  <w:u w:val="single"/>
                </w:rPr>
                <w:t>Separation Agreement and General Release of Claims by and between FactSet Research Systems Inc. and Linda Huber, dated July 22, 2024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001-11869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79">
              <w:r>
                <w:rPr>
                  <w:rStyle w:val="InternetLink"/>
                  <w:rFonts w:ascii="Times New Roman;serif" w:hAnsi="Times New Roman;serif"/>
                  <w:b w:val="false"/>
                  <w:color w:val="0000FF"/>
                  <w:sz w:val="20"/>
                  <w:u w:val="single"/>
                </w:rPr>
                <w:t>10.16</w:t>
              </w:r>
            </w:hyperlink>
          </w:p>
        </w:tc>
        <w:tc>
          <w:tcPr>
            <w:tcW w:w="50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80">
              <w:r>
                <w:rPr>
                  <w:rStyle w:val="InternetLink"/>
                  <w:rFonts w:ascii="Times New Roman;serif" w:hAnsi="Times New Roman;serif"/>
                  <w:b w:val="false"/>
                  <w:color w:val="0000FF"/>
                  <w:sz w:val="20"/>
                  <w:u w:val="single"/>
                </w:rPr>
                <w:t>Employment Agreement dated May 28, 2025 between FactSet Research Systems Inc. and Sanoke Viswanathan</w:t>
              </w:r>
            </w:hyperlink>
            <w:hyperlink r:id="rId81">
              <w:r>
                <w:rPr>
                  <w:rStyle w:val="InternetLink"/>
                  <w:rFonts w:ascii="Times New Roman;serif" w:hAnsi="Times New Roman;serif"/>
                  <w:b w:val="false"/>
                  <w:color w:val="0000FF"/>
                  <w:sz w:val="13"/>
                  <w:u w:val="single"/>
                </w:rPr>
                <w:t>(1)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001-11869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82">
              <w:r>
                <w:rPr>
                  <w:rStyle w:val="InternetLink"/>
                  <w:rFonts w:ascii="Times New Roman;serif" w:hAnsi="Times New Roman;serif"/>
                  <w:b w:val="false"/>
                  <w:color w:val="0000FF"/>
                  <w:sz w:val="20"/>
                  <w:u w:val="single"/>
                </w:rPr>
                <w:t>10.17</w:t>
              </w:r>
            </w:hyperlink>
          </w:p>
        </w:tc>
        <w:tc>
          <w:tcPr>
            <w:tcW w:w="50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83">
              <w:r>
                <w:rPr>
                  <w:rStyle w:val="InternetLink"/>
                  <w:rFonts w:ascii="Times New Roman;serif" w:hAnsi="Times New Roman;serif"/>
                  <w:b w:val="false"/>
                  <w:color w:val="0000FF"/>
                  <w:sz w:val="20"/>
                  <w:u w:val="single"/>
                </w:rPr>
                <w:t>Retirement Agreement and General Release of Claims between FactSet Research Systems Inc. and F. Philip Snow</w:t>
              </w:r>
            </w:hyperlink>
            <w:hyperlink r:id="rId84">
              <w:r>
                <w:rPr>
                  <w:rStyle w:val="InternetLink"/>
                  <w:rFonts w:ascii="Times New Roman;serif" w:hAnsi="Times New Roman;serif"/>
                  <w:b w:val="false"/>
                  <w:color w:val="0000FF"/>
                  <w:sz w:val="13"/>
                </w:rPr>
                <w:t>(1)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001-11869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85">
              <w:r>
                <w:rPr>
                  <w:rStyle w:val="InternetLink"/>
                  <w:rFonts w:ascii="Times New Roman;serif" w:hAnsi="Times New Roman;serif"/>
                  <w:b w:val="false"/>
                  <w:color w:val="000080"/>
                  <w:sz w:val="20"/>
                  <w:u w:val="single"/>
                </w:rPr>
                <w:t>1</w:t>
              </w:r>
            </w:hyperlink>
            <w:hyperlink r:id="rId86">
              <w:r>
                <w:rPr>
                  <w:rStyle w:val="InternetLink"/>
                  <w:rFonts w:ascii="Times New Roman;serif" w:hAnsi="Times New Roman;serif"/>
                  <w:b w:val="false"/>
                  <w:color w:val="000080"/>
                  <w:sz w:val="20"/>
                  <w:u w:val="single"/>
                </w:rPr>
                <w:t>0.1</w:t>
              </w:r>
            </w:hyperlink>
            <w:hyperlink r:id="rId87">
              <w:r>
                <w:rPr>
                  <w:rStyle w:val="InternetLink"/>
                  <w:rFonts w:ascii="Times New Roman;serif" w:hAnsi="Times New Roman;serif"/>
                  <w:b w:val="false"/>
                  <w:color w:val="000080"/>
                  <w:sz w:val="20"/>
                  <w:u w:val="single"/>
                </w:rPr>
                <w:t>8</w:t>
              </w:r>
            </w:hyperlink>
          </w:p>
        </w:tc>
        <w:tc>
          <w:tcPr>
            <w:tcW w:w="50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88">
              <w:r>
                <w:rPr>
                  <w:rStyle w:val="InternetLink"/>
                  <w:rFonts w:ascii="Times New Roman;serif" w:hAnsi="Times New Roman;serif"/>
                  <w:b w:val="false"/>
                  <w:color w:val="0000FF"/>
                  <w:sz w:val="20"/>
                  <w:u w:val="single"/>
                </w:rPr>
                <w:t>Employment Agreement dated April 2, 2026 between FactSet Research Systems Inc. and Joshua Warren</w:t>
              </w:r>
            </w:hyperlink>
            <w:r>
              <w:rPr>
                <w:rFonts w:ascii="Times New Roman;serif" w:hAnsi="Times New Roman;serif"/>
                <w:b w:val="false"/>
                <w:color w:val="0000FF"/>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001-11869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89">
              <w:r>
                <w:rPr>
                  <w:rStyle w:val="InternetLink"/>
                  <w:rFonts w:ascii="Times New Roman;serif" w:hAnsi="Times New Roman;serif"/>
                  <w:b w:val="false"/>
                  <w:color w:val="000080"/>
                  <w:sz w:val="20"/>
                  <w:u w:val="single"/>
                </w:rPr>
                <w:t>1</w:t>
              </w:r>
            </w:hyperlink>
            <w:hyperlink r:id="rId90">
              <w:r>
                <w:rPr>
                  <w:rStyle w:val="InternetLink"/>
                  <w:rFonts w:ascii="Times New Roman;serif" w:hAnsi="Times New Roman;serif"/>
                  <w:b w:val="false"/>
                  <w:color w:val="000080"/>
                  <w:sz w:val="20"/>
                  <w:u w:val="single"/>
                </w:rPr>
                <w:t>0.1</w:t>
              </w:r>
            </w:hyperlink>
            <w:hyperlink r:id="rId91">
              <w:r>
                <w:rPr>
                  <w:rStyle w:val="InternetLink"/>
                  <w:rFonts w:ascii="Times New Roman;serif" w:hAnsi="Times New Roman;serif"/>
                  <w:b w:val="false"/>
                  <w:color w:val="000080"/>
                  <w:sz w:val="20"/>
                  <w:u w:val="single"/>
                </w:rPr>
                <w:t>9</w:t>
              </w:r>
            </w:hyperlink>
          </w:p>
        </w:tc>
        <w:tc>
          <w:tcPr>
            <w:tcW w:w="50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92">
              <w:r>
                <w:rPr>
                  <w:rStyle w:val="InternetLink"/>
                  <w:rFonts w:ascii="Times New Roman;serif" w:hAnsi="Times New Roman;serif"/>
                  <w:b w:val="false"/>
                  <w:color w:val="000080"/>
                  <w:sz w:val="20"/>
                  <w:u w:val="single"/>
                </w:rPr>
                <w:t>S</w:t>
              </w:r>
            </w:hyperlink>
            <w:hyperlink r:id="rId93">
              <w:r>
                <w:rPr>
                  <w:rStyle w:val="InternetLink"/>
                  <w:rFonts w:ascii="Times New Roman;serif" w:hAnsi="Times New Roman;serif"/>
                  <w:b w:val="false"/>
                  <w:color w:val="000080"/>
                  <w:sz w:val="20"/>
                  <w:u w:val="single"/>
                </w:rPr>
                <w:t>eparation Agreement and General Release of Claims between FactSet Research Sys</w:t>
              </w:r>
            </w:hyperlink>
            <w:hyperlink r:id="rId94">
              <w:r>
                <w:rPr>
                  <w:rStyle w:val="InternetLink"/>
                  <w:rFonts w:ascii="Times New Roman;serif" w:hAnsi="Times New Roman;serif"/>
                  <w:b w:val="false"/>
                  <w:color w:val="000080"/>
                  <w:sz w:val="20"/>
                  <w:u w:val="single"/>
                </w:rPr>
                <w:t>tems Inc. and Helen Shan</w:t>
              </w:r>
            </w:hyperlink>
            <w:r>
              <w:rPr>
                <w:rFonts w:ascii="Times New Roman;serif" w:hAnsi="Times New Roman;serif"/>
                <w:b w:val="false"/>
                <w:color w:val="0000FF"/>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001-11869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95">
              <w:r>
                <w:rPr>
                  <w:rStyle w:val="InternetLink"/>
                  <w:rFonts w:ascii="Times New Roman;serif" w:hAnsi="Times New Roman;serif"/>
                  <w:b w:val="false"/>
                  <w:color w:val="0000FF"/>
                  <w:sz w:val="20"/>
                  <w:u w:val="single"/>
                </w:rPr>
                <w:t>19</w:t>
              </w:r>
            </w:hyperlink>
          </w:p>
        </w:tc>
        <w:tc>
          <w:tcPr>
            <w:tcW w:w="50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96">
              <w:r>
                <w:rPr>
                  <w:rStyle w:val="InternetLink"/>
                  <w:rFonts w:ascii="Times New Roman;serif" w:hAnsi="Times New Roman;serif"/>
                  <w:b w:val="false"/>
                  <w:color w:val="0000FF"/>
                  <w:sz w:val="20"/>
                  <w:u w:val="single"/>
                </w:rPr>
                <w:t>FactSet Research Systems Inc. Securities and Insider Trading Policy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001-11869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fds-202608x31xexx211.htm">
              <w:r>
                <w:rPr>
                  <w:rStyle w:val="InternetLink"/>
                  <w:rFonts w:ascii="Times New Roman;serif" w:hAnsi="Times New Roman;serif"/>
                  <w:b w:val="false"/>
                  <w:color w:val="0000FF"/>
                  <w:sz w:val="20"/>
                  <w:u w:val="single"/>
                </w:rPr>
                <w:t>21</w:t>
              </w:r>
            </w:hyperlink>
          </w:p>
        </w:tc>
        <w:tc>
          <w:tcPr>
            <w:tcW w:w="50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fds-202608x31xexx211.htm">
              <w:r>
                <w:rPr>
                  <w:rStyle w:val="InternetLink"/>
                  <w:rFonts w:ascii="Times New Roman;serif" w:hAnsi="Times New Roman;serif"/>
                  <w:b w:val="false"/>
                  <w:color w:val="0000FF"/>
                  <w:sz w:val="20"/>
                  <w:u w:val="single"/>
                </w:rPr>
                <w:t>Subsidiaries of FactSet Research Systems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fds-202608x31xexx231.htm">
              <w:r>
                <w:rPr>
                  <w:rStyle w:val="InternetLink"/>
                  <w:rFonts w:ascii="Times New Roman;serif" w:hAnsi="Times New Roman;serif"/>
                  <w:b w:val="false"/>
                  <w:color w:val="0000FF"/>
                  <w:sz w:val="20"/>
                  <w:u w:val="single"/>
                </w:rPr>
                <w:t>23</w:t>
              </w:r>
            </w:hyperlink>
          </w:p>
        </w:tc>
        <w:tc>
          <w:tcPr>
            <w:tcW w:w="50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fds-202608x31xexx231.htm">
              <w:r>
                <w:rPr>
                  <w:rStyle w:val="InternetLink"/>
                  <w:rFonts w:ascii="Times New Roman;serif" w:hAnsi="Times New Roman;serif"/>
                  <w:b w:val="false"/>
                  <w:color w:val="0000FF"/>
                  <w:sz w:val="20"/>
                  <w:u w:val="single"/>
                </w:rPr>
                <w:t>Consent of Ernst &amp; Young LLP</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fds-20260831xexx3111.htm">
              <w:r>
                <w:rPr>
                  <w:rStyle w:val="InternetLink"/>
                  <w:rFonts w:ascii="Times New Roman;serif" w:hAnsi="Times New Roman;serif"/>
                  <w:b w:val="false"/>
                  <w:color w:val="0000FF"/>
                  <w:sz w:val="20"/>
                  <w:u w:val="single"/>
                </w:rPr>
                <w:t>31.1</w:t>
              </w:r>
            </w:hyperlink>
          </w:p>
        </w:tc>
        <w:tc>
          <w:tcPr>
            <w:tcW w:w="50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fds-20260831xexx3111.htm">
              <w:r>
                <w:rPr>
                  <w:rStyle w:val="InternetLink"/>
                  <w:rFonts w:ascii="Times New Roman;serif" w:hAnsi="Times New Roman;serif"/>
                  <w:b w:val="false"/>
                  <w:color w:val="0000FF"/>
                  <w:sz w:val="20"/>
                  <w:u w:val="single"/>
                </w:rPr>
                <w:t>Certification of the Chief Executive Officer pursuant to Rule 13a-14(a) and Rule 15d-14(a) of the Securities Exchange Act, as amended.</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fds-20260831xexx3121.htm">
              <w:r>
                <w:rPr>
                  <w:rStyle w:val="InternetLink"/>
                  <w:rFonts w:ascii="Times New Roman;serif" w:hAnsi="Times New Roman;serif"/>
                  <w:b w:val="false"/>
                  <w:color w:val="0000FF"/>
                  <w:sz w:val="20"/>
                  <w:u w:val="single"/>
                </w:rPr>
                <w:t>31.2</w:t>
              </w:r>
            </w:hyperlink>
          </w:p>
        </w:tc>
        <w:tc>
          <w:tcPr>
            <w:tcW w:w="50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fds-20260831xexx3121.htm">
              <w:r>
                <w:rPr>
                  <w:rStyle w:val="InternetLink"/>
                  <w:rFonts w:ascii="Times New Roman;serif" w:hAnsi="Times New Roman;serif"/>
                  <w:b w:val="false"/>
                  <w:color w:val="0000FF"/>
                  <w:sz w:val="20"/>
                  <w:u w:val="single"/>
                </w:rPr>
                <w:t>Certification of the Chief Financial Officer pursuant to Rule 13a-14(a) and Rule 15d-14(a) of the Securities Exchange Act, as amended.</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fds-20260831xexx3211.htm">
              <w:r>
                <w:rPr>
                  <w:rStyle w:val="InternetLink"/>
                  <w:rFonts w:ascii="Times New Roman;serif" w:hAnsi="Times New Roman;serif"/>
                  <w:b w:val="false"/>
                  <w:color w:val="0000FF"/>
                  <w:sz w:val="20"/>
                  <w:u w:val="single"/>
                </w:rPr>
                <w:t>32.1</w:t>
              </w:r>
            </w:hyperlink>
          </w:p>
        </w:tc>
        <w:tc>
          <w:tcPr>
            <w:tcW w:w="50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fds-20260831xexx3211.htm">
              <w:r>
                <w:rPr>
                  <w:rStyle w:val="InternetLink"/>
                  <w:rFonts w:ascii="Times New Roman;serif" w:hAnsi="Times New Roman;serif"/>
                  <w:b w:val="false"/>
                  <w:color w:val="0000FF"/>
                  <w:sz w:val="20"/>
                  <w:u w:val="single"/>
                </w:rPr>
                <w:t>Certification of the Chief Executive Officer pursuant to 18 U.S.C.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fds-20260831xexx3221.htm">
              <w:r>
                <w:rPr>
                  <w:rStyle w:val="InternetLink"/>
                  <w:rFonts w:ascii="Times New Roman;serif" w:hAnsi="Times New Roman;serif"/>
                  <w:b w:val="false"/>
                  <w:color w:val="0000FF"/>
                  <w:sz w:val="20"/>
                  <w:u w:val="single"/>
                </w:rPr>
                <w:t>32.2</w:t>
              </w:r>
            </w:hyperlink>
          </w:p>
        </w:tc>
        <w:tc>
          <w:tcPr>
            <w:tcW w:w="50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fds-20260831xexx3221.htm">
              <w:r>
                <w:rPr>
                  <w:rStyle w:val="InternetLink"/>
                  <w:rFonts w:ascii="Times New Roman;serif" w:hAnsi="Times New Roman;serif"/>
                  <w:b w:val="false"/>
                  <w:color w:val="0000FF"/>
                  <w:sz w:val="20"/>
                  <w:u w:val="single"/>
                </w:rPr>
                <w:t>Certification of the Chief Financial Officer pursuant to 18 U.S.C.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97">
              <w:r>
                <w:rPr>
                  <w:rStyle w:val="InternetLink"/>
                  <w:rFonts w:ascii="Times New Roman;serif" w:hAnsi="Times New Roman;serif"/>
                  <w:b w:val="false"/>
                  <w:color w:val="0000FF"/>
                  <w:sz w:val="20"/>
                  <w:u w:val="single"/>
                </w:rPr>
                <w:t>97</w:t>
              </w:r>
            </w:hyperlink>
          </w:p>
        </w:tc>
        <w:tc>
          <w:tcPr>
            <w:tcW w:w="50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98">
              <w:r>
                <w:rPr>
                  <w:rStyle w:val="InternetLink"/>
                  <w:rFonts w:ascii="Times New Roman;serif" w:hAnsi="Times New Roman;serif"/>
                  <w:b w:val="false"/>
                  <w:color w:val="0000FF"/>
                  <w:sz w:val="20"/>
                  <w:u w:val="single"/>
                </w:rPr>
                <w:t>FactSet Research Systems Inc. Incentive Compensation Recoupment Policy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001-11869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5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5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5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5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d93253b6c6d743009d916199362386a6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88"/>
        <w:gridCol w:w="253"/>
        <w:gridCol w:w="255"/>
        <w:gridCol w:w="2045"/>
        <w:gridCol w:w="2021"/>
        <w:gridCol w:w="2025"/>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7"/>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6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6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6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TextBody"/>
        <w:bidi w:val="0"/>
        <w:spacing w:lineRule="auto" w:line="288" w:before="20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Indicates a management contract or compensatory plan or arrangement.</w:t>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16. FORM 10-K SUMMARY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200" w:after="283"/>
        <w:jc w:val="both"/>
        <w:rPr/>
      </w:pPr>
      <w:hyperlink w:anchor="id93253b6c6d743009d916199362386a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on Form 10-K to be signed on its behalf by the undersigned, thereunto duly authorized.</w:t>
      </w:r>
    </w:p>
    <w:tbl>
      <w:tblPr>
        <w:tblW w:w="5726" w:type="dxa"/>
        <w:jc w:val="left"/>
        <w:tblInd w:w="0" w:type="dxa"/>
        <w:tblLayout w:type="fixed"/>
        <w:tblCellMar>
          <w:top w:w="28" w:type="dxa"/>
          <w:left w:w="28" w:type="dxa"/>
          <w:bottom w:w="28" w:type="dxa"/>
          <w:right w:w="28" w:type="dxa"/>
        </w:tblCellMar>
      </w:tblPr>
      <w:tblGrid>
        <w:gridCol w:w="726"/>
        <w:gridCol w:w="640"/>
        <w:gridCol w:w="643"/>
        <w:gridCol w:w="1114"/>
        <w:gridCol w:w="1114"/>
        <w:gridCol w:w="1117"/>
        <w:gridCol w:w="109"/>
        <w:gridCol w:w="109"/>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FACTSET RESEARCH SYSTEMS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20, 2026</w:t>
            </w:r>
          </w:p>
        </w:tc>
        <w:tc>
          <w:tcPr>
            <w:tcW w:w="33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SANOKE VISWANATHAN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Sanoke Viswanathan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on Form 10-K has been signed below by the following persons on behalf of the Registrant and in the capacities and on the dates indicated.</w:t>
      </w:r>
    </w:p>
    <w:tbl>
      <w:tblPr>
        <w:tblW w:w="9816" w:type="dxa"/>
        <w:jc w:val="left"/>
        <w:tblInd w:w="0" w:type="dxa"/>
        <w:tblLayout w:type="fixed"/>
        <w:tblCellMar>
          <w:top w:w="28" w:type="dxa"/>
          <w:left w:w="28" w:type="dxa"/>
          <w:bottom w:w="28" w:type="dxa"/>
          <w:right w:w="28" w:type="dxa"/>
        </w:tblCellMar>
      </w:tblPr>
      <w:tblGrid>
        <w:gridCol w:w="933"/>
        <w:gridCol w:w="820"/>
        <w:gridCol w:w="826"/>
        <w:gridCol w:w="109"/>
        <w:gridCol w:w="109"/>
        <w:gridCol w:w="109"/>
        <w:gridCol w:w="1667"/>
        <w:gridCol w:w="1667"/>
        <w:gridCol w:w="1690"/>
        <w:gridCol w:w="109"/>
        <w:gridCol w:w="109"/>
        <w:gridCol w:w="109"/>
        <w:gridCol w:w="454"/>
        <w:gridCol w:w="454"/>
        <w:gridCol w:w="651"/>
      </w:tblGrid>
      <w:tr>
        <w:trPr/>
        <w:tc>
          <w:tcPr>
            <w:tcW w:w="93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Date</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SANOKE VISWANATHAN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20, 2026</w:t>
            </w:r>
          </w:p>
        </w:tc>
      </w:tr>
      <w:tr>
        <w:trPr/>
        <w:tc>
          <w:tcPr>
            <w:tcW w:w="257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Sanoke Viswanathan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JOSHUA WARREN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20, 2026</w:t>
            </w:r>
          </w:p>
        </w:tc>
      </w:tr>
      <w:tr>
        <w:trPr/>
        <w:tc>
          <w:tcPr>
            <w:tcW w:w="257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Joshua Warren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GREGORY T. MOSKOFF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Managing Director, Controller and Chief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20, 2026</w:t>
            </w:r>
          </w:p>
        </w:tc>
      </w:tr>
      <w:tr>
        <w:trPr/>
        <w:tc>
          <w:tcPr>
            <w:tcW w:w="257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Gregory T. Moskoff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ROBIN A. ABRAMS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20, 2026</w:t>
            </w:r>
          </w:p>
        </w:tc>
      </w:tr>
      <w:tr>
        <w:trPr/>
        <w:tc>
          <w:tcPr>
            <w:tcW w:w="257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Robin A. Abrams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SIEW KAI CHOY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20, 2026</w:t>
            </w:r>
          </w:p>
        </w:tc>
      </w:tr>
      <w:tr>
        <w:trPr/>
        <w:tc>
          <w:tcPr>
            <w:tcW w:w="257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Siew Kai Choy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BARAK EILAM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20, 2026</w:t>
            </w:r>
          </w:p>
        </w:tc>
      </w:tr>
      <w:tr>
        <w:trPr/>
        <w:tc>
          <w:tcPr>
            <w:tcW w:w="257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Barak Eilam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MALCOLM FRANK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20, 2026</w:t>
            </w:r>
          </w:p>
        </w:tc>
      </w:tr>
      <w:tr>
        <w:trPr/>
        <w:tc>
          <w:tcPr>
            <w:tcW w:w="257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Malcolm Frank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LAURIE G. HYLTON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20, 2026</w:t>
            </w:r>
          </w:p>
        </w:tc>
      </w:tr>
      <w:tr>
        <w:trPr/>
        <w:tc>
          <w:tcPr>
            <w:tcW w:w="257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Laurie G. Hylton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MARCEL PRINS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20, 2026</w:t>
            </w:r>
          </w:p>
        </w:tc>
      </w:tr>
      <w:tr>
        <w:trPr/>
        <w:tc>
          <w:tcPr>
            <w:tcW w:w="257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Marcel Prins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LEE SHAVEL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20, 2026</w:t>
            </w:r>
          </w:p>
        </w:tc>
      </w:tr>
      <w:tr>
        <w:trPr/>
        <w:tc>
          <w:tcPr>
            <w:tcW w:w="257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Lee Shavel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LAURIE SIEGEL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20, 2026</w:t>
            </w:r>
          </w:p>
        </w:tc>
      </w:tr>
      <w:tr>
        <w:trPr/>
        <w:tc>
          <w:tcPr>
            <w:tcW w:w="257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Laurie Siegel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MARIA TERESA TEJADA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20, 2026</w:t>
            </w:r>
          </w:p>
        </w:tc>
      </w:tr>
      <w:tr>
        <w:trPr/>
        <w:tc>
          <w:tcPr>
            <w:tcW w:w="257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Maria Teresa Tejada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ELISHA WIESEL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20, 2026</w:t>
            </w:r>
          </w:p>
        </w:tc>
      </w:tr>
      <w:tr>
        <w:trPr/>
        <w:tc>
          <w:tcPr>
            <w:tcW w:w="257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Elisha Wiesel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4.5</w:t>
      </w:r>
    </w:p>
    <w:p>
      <w:pPr>
        <w:pStyle w:val="TextBody"/>
        <w:bidi w:val="0"/>
        <w:spacing w:before="200" w:after="283"/>
        <w:jc w:val="righ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DESCRIPTION OF THE REGISTRANT'S SECURITIES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REGISTERED PURSUANT TO SECTION 12 OF THE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EXCHANGE ACT OF 1934</w:t>
      </w:r>
    </w:p>
    <w:p>
      <w:pPr>
        <w:pStyle w:val="TextBody"/>
        <w:bidi w:val="0"/>
        <w:spacing w:lineRule="auto" w:line="288" w:before="20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following description of capital stock of FactSet Research Systems Inc. (the “Company,” “FactSet,” “we,” “us” and “our”) summarizes certain provisions of our Third Amended and Restated Certificate of Incorporation (the “Certificate of Incorporation”) and Amended and Restated By-laws (the “Bylaws”). The description is intended as a summary, and is qualified in its entirety by reference to our Certificate of Incorporation and Amended and Restated Bylaws, copies of which have been included as exhibits to this Annual Report on Form 10-K.</w:t>
      </w:r>
    </w:p>
    <w:p>
      <w:pPr>
        <w:pStyle w:val="TextBody"/>
        <w:bidi w:val="0"/>
        <w:spacing w:lineRule="auto" w:line="288" w:before="20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Our authorized capital stock consists of 150,000,000 shares of common stock, par value $0.01 per share, and 10,000,000 shares of preferred stock, none of which is outstanding or reserved for issuance, par value $0.01 per share.</w:t>
      </w:r>
    </w:p>
    <w:p>
      <w:pPr>
        <w:pStyle w:val="TextBody"/>
        <w:bidi w:val="0"/>
        <w:spacing w:lineRule="auto" w:line="288" w:before="200" w:after="283"/>
        <w:jc w:val="left"/>
        <w:rPr>
          <w:rFonts w:ascii="Times New Roman;serif" w:hAnsi="Times New Roman;serif"/>
          <w:b/>
          <w:color w:val="000000"/>
          <w:sz w:val="22"/>
        </w:rPr>
      </w:pPr>
      <w:r>
        <w:rPr>
          <w:rFonts w:ascii="Times New Roman;serif" w:hAnsi="Times New Roman;serif"/>
          <w:b/>
          <w:color w:val="000000"/>
          <w:sz w:val="22"/>
        </w:rPr>
        <w:t>Listing</w:t>
      </w:r>
    </w:p>
    <w:p>
      <w:pPr>
        <w:pStyle w:val="TextBody"/>
        <w:bidi w:val="0"/>
        <w:spacing w:lineRule="auto" w:line="288" w:before="20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Our common stock is listed on the New York Stock Exchange and the Nasdaq Stock Market under the symbol “FDS.”</w:t>
      </w:r>
    </w:p>
    <w:p>
      <w:pPr>
        <w:pStyle w:val="TextBody"/>
        <w:bidi w:val="0"/>
        <w:spacing w:lineRule="auto" w:line="288" w:before="200" w:after="283"/>
        <w:jc w:val="left"/>
        <w:rPr>
          <w:rFonts w:ascii="Times New Roman;serif" w:hAnsi="Times New Roman;serif"/>
          <w:b/>
          <w:color w:val="000000"/>
          <w:sz w:val="22"/>
        </w:rPr>
      </w:pPr>
      <w:r>
        <w:rPr>
          <w:rFonts w:ascii="Times New Roman;serif" w:hAnsi="Times New Roman;serif"/>
          <w:b/>
          <w:color w:val="000000"/>
          <w:sz w:val="22"/>
        </w:rPr>
        <w:t>Common Stock</w:t>
      </w:r>
    </w:p>
    <w:p>
      <w:pPr>
        <w:pStyle w:val="TextBody"/>
        <w:bidi w:val="0"/>
        <w:spacing w:lineRule="auto" w:line="288" w:before="200" w:after="283"/>
        <w:jc w:val="left"/>
        <w:rPr/>
      </w:pPr>
      <w:r>
        <w:rPr>
          <w:rFonts w:ascii="Times New Roman;serif" w:hAnsi="Times New Roman;serif"/>
          <w:b w:val="false"/>
          <w:i/>
          <w:color w:val="000000"/>
          <w:sz w:val="22"/>
        </w:rPr>
        <w:t xml:space="preserve">Quorum. </w:t>
      </w:r>
      <w:r>
        <w:rPr>
          <w:rFonts w:ascii="Times New Roman;serif" w:hAnsi="Times New Roman;serif"/>
          <w:b w:val="false"/>
          <w:color w:val="000000"/>
          <w:sz w:val="22"/>
        </w:rPr>
        <w:t>Except as otherwise required by law or the Certificate of Incorporation, at all meetings of the stockholders, the presence in person or by proxy of the holders of a majority of the shares of stock of the Company issued and outstanding and entitled to vote constitutes a quorum for the transaction of any business.</w:t>
      </w:r>
    </w:p>
    <w:p>
      <w:pPr>
        <w:pStyle w:val="TextBody"/>
        <w:bidi w:val="0"/>
        <w:spacing w:lineRule="auto" w:line="288" w:before="200" w:after="283"/>
        <w:jc w:val="left"/>
        <w:rPr/>
      </w:pPr>
      <w:r>
        <w:rPr>
          <w:rFonts w:ascii="Times New Roman;serif" w:hAnsi="Times New Roman;serif"/>
          <w:b w:val="false"/>
          <w:i/>
          <w:color w:val="000000"/>
          <w:sz w:val="22"/>
        </w:rPr>
        <w:t xml:space="preserve">Voting Rights. </w:t>
      </w:r>
      <w:r>
        <w:rPr>
          <w:rFonts w:ascii="Times New Roman;serif" w:hAnsi="Times New Roman;serif"/>
          <w:b w:val="false"/>
          <w:color w:val="000000"/>
          <w:sz w:val="22"/>
        </w:rPr>
        <w:t>Each share of common stock is entitled to one vote per share on each matter submitted to a vote at a meeting of stockholders, subject to any voting rights of holders of our preferred stock.</w:t>
      </w:r>
      <w:r>
        <w:rPr>
          <w:color w:val="000000"/>
        </w:rPr>
        <w:t xml:space="preserve"> </w:t>
      </w:r>
      <w:r>
        <w:rPr>
          <w:rFonts w:ascii="Times New Roman;serif" w:hAnsi="Times New Roman;serif"/>
          <w:b w:val="false"/>
          <w:color w:val="000000"/>
          <w:sz w:val="22"/>
        </w:rPr>
        <w:t xml:space="preserve">Except as otherwise required by law, the Certificate of Incorporation or the Bylaws, any corporate action to be taken by vote of the stockholders shall be authorized by a majority of the total votes cast at a meeting of stockholders by the holders of shares present in person or represented by proxy and entitled to vote on such action. </w:t>
      </w:r>
    </w:p>
    <w:p>
      <w:pPr>
        <w:pStyle w:val="TextBody"/>
        <w:bidi w:val="0"/>
        <w:spacing w:lineRule="auto" w:line="288" w:before="200" w:after="283"/>
        <w:jc w:val="left"/>
        <w:rPr>
          <w:rFonts w:ascii="Times New Roman;serif" w:hAnsi="Times New Roman;serif"/>
          <w:b w:val="false"/>
          <w:color w:val="000000"/>
          <w:sz w:val="22"/>
        </w:rPr>
      </w:pPr>
      <w:r>
        <w:rPr>
          <w:rFonts w:ascii="Times New Roman;serif" w:hAnsi="Times New Roman;serif"/>
          <w:b w:val="false"/>
          <w:color w:val="000000"/>
          <w:sz w:val="22"/>
        </w:rPr>
        <w:t>In an uncontested election, each director will be elected by a vote of the majority of the votes cast and any nominee for Director in an uncontested election who does not receive a majority of votes cast for his or her election shall not be elected. In a contested election, the directors will be elected by a plurality of the votes cast, meaning the directors receiving the largest number of “for” votes will be elected to the open director positions. A contested election is one in which: (i) as of the last day for giving notice of a stockholder nominee, a stockholder has nominated a candidate for director according to the requirements of our Bylaws, and (ii) as of the date that notice of the meeting is given, our Board of Directors (the “Board”) considers that a stockholder candidacy has created a bona fide election contest. Cumulative voting is not authorized.</w:t>
      </w:r>
    </w:p>
    <w:p>
      <w:pPr>
        <w:pStyle w:val="TextBody"/>
        <w:bidi w:val="0"/>
        <w:spacing w:lineRule="auto" w:line="288" w:before="200" w:after="283"/>
        <w:jc w:val="left"/>
        <w:rPr/>
      </w:pPr>
      <w:r>
        <w:rPr>
          <w:rFonts w:ascii="Times New Roman;serif" w:hAnsi="Times New Roman;serif"/>
          <w:b w:val="false"/>
          <w:i/>
          <w:color w:val="000000"/>
          <w:sz w:val="22"/>
        </w:rPr>
        <w:t>Dividend and Liquidation Rights</w:t>
      </w:r>
      <w:r>
        <w:rPr>
          <w:rFonts w:ascii="Times New Roman;serif" w:hAnsi="Times New Roman;serif"/>
          <w:b w:val="false"/>
          <w:color w:val="000000"/>
          <w:sz w:val="22"/>
        </w:rPr>
        <w:t>. Each share of common stock is entitled to receive dividends if, as and when declared by Board.</w:t>
      </w:r>
      <w:r>
        <w:rPr>
          <w:color w:val="000000"/>
        </w:rPr>
        <w:t xml:space="preserve"> </w:t>
      </w:r>
      <w:r>
        <w:rPr>
          <w:rFonts w:ascii="Times New Roman;serif" w:hAnsi="Times New Roman;serif"/>
          <w:b w:val="false"/>
          <w:color w:val="000000"/>
          <w:sz w:val="22"/>
        </w:rPr>
        <w:t>In the event of our liquidation or dissolution or winding up and after payment of all prior claims, holders of our common stock would be entitled to receive any of our remaining assets, subject to any preferential rights of holders of outstanding shares of preferred stock.</w:t>
      </w:r>
    </w:p>
    <w:p>
      <w:pPr>
        <w:pStyle w:val="TextBody"/>
        <w:bidi w:val="0"/>
        <w:spacing w:before="0" w:after="0"/>
        <w:jc w:val="righ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left"/>
        <w:rPr/>
      </w:pPr>
      <w:r>
        <w:rPr>
          <w:rFonts w:ascii="Times New Roman;serif" w:hAnsi="Times New Roman;serif"/>
          <w:b w:val="false"/>
          <w:i/>
          <w:color w:val="000000"/>
          <w:sz w:val="22"/>
        </w:rPr>
        <w:t>Other Rights.</w:t>
      </w:r>
      <w:r>
        <w:rPr>
          <w:color w:val="000000"/>
        </w:rPr>
        <w:t xml:space="preserve"> </w:t>
      </w:r>
      <w:r>
        <w:rPr>
          <w:rFonts w:ascii="Times New Roman;serif" w:hAnsi="Times New Roman;serif"/>
          <w:b w:val="false"/>
          <w:color w:val="000000"/>
          <w:sz w:val="22"/>
        </w:rPr>
        <w:t xml:space="preserve">The common stock has no preemptive, subscription, conversion or redemption rights and is not subject to any sinking fund provisions. Holders of common stock are not liable to further calls or assessment by the Company. </w:t>
      </w:r>
    </w:p>
    <w:p>
      <w:pPr>
        <w:pStyle w:val="TextBody"/>
        <w:bidi w:val="0"/>
        <w:spacing w:lineRule="auto" w:line="288" w:before="200" w:after="283"/>
        <w:jc w:val="left"/>
        <w:rPr>
          <w:rFonts w:ascii="Times New Roman;serif" w:hAnsi="Times New Roman;serif"/>
          <w:b/>
          <w:color w:val="000000"/>
          <w:sz w:val="22"/>
        </w:rPr>
      </w:pPr>
      <w:r>
        <w:rPr>
          <w:rFonts w:ascii="Times New Roman;serif" w:hAnsi="Times New Roman;serif"/>
          <w:b/>
          <w:color w:val="000000"/>
          <w:sz w:val="22"/>
        </w:rPr>
        <w:t>Preferred Stock</w:t>
      </w:r>
    </w:p>
    <w:p>
      <w:pPr>
        <w:pStyle w:val="TextBody"/>
        <w:bidi w:val="0"/>
        <w:spacing w:lineRule="auto" w:line="288" w:before="200" w:after="283"/>
        <w:ind w:left="0" w:right="0" w:firstLine="720"/>
        <w:jc w:val="left"/>
        <w:rPr/>
      </w:pPr>
      <w:r>
        <w:rPr>
          <w:rFonts w:ascii="Times New Roman;serif" w:hAnsi="Times New Roman;serif"/>
          <w:b w:val="false"/>
          <w:color w:val="000000"/>
          <w:sz w:val="22"/>
        </w:rPr>
        <w:t>Our Board is authorized, without further action by our stockholders, to issue, at any time, preferred stock</w:t>
      </w:r>
      <w:r>
        <w:rPr>
          <w:color w:val="1B1A18"/>
          <w:shd w:fill="FFFFFF" w:val="clear"/>
        </w:rPr>
        <w:t xml:space="preserve"> </w:t>
      </w:r>
      <w:r>
        <w:rPr>
          <w:rFonts w:ascii="Times New Roman;serif" w:hAnsi="Times New Roman;serif"/>
          <w:b w:val="false"/>
          <w:color w:val="000000"/>
          <w:sz w:val="22"/>
        </w:rPr>
        <w:t>in one or more series, the terms of which (such as the designations, powers, and rights and preferences, including voting, dividend, dissolution, conversion, exchange and redemption rights) may be determined by the Board. The issuance of preferred stock may have the effect of delaying, deferring or discouraging another party from acquiring control of us.</w:t>
      </w:r>
    </w:p>
    <w:p>
      <w:pPr>
        <w:pStyle w:val="TextBody"/>
        <w:bidi w:val="0"/>
        <w:spacing w:lineRule="auto" w:line="288" w:before="200" w:after="283"/>
        <w:jc w:val="left"/>
        <w:rPr>
          <w:rFonts w:ascii="Times New Roman;serif" w:hAnsi="Times New Roman;serif"/>
          <w:b/>
          <w:color w:val="000000"/>
          <w:sz w:val="22"/>
        </w:rPr>
      </w:pPr>
      <w:r>
        <w:rPr>
          <w:rFonts w:ascii="Times New Roman;serif" w:hAnsi="Times New Roman;serif"/>
          <w:b/>
          <w:color w:val="000000"/>
          <w:sz w:val="22"/>
        </w:rPr>
        <w:t>Other Provisions; Provisions That May Have Anti-Takeover Effects</w:t>
      </w:r>
    </w:p>
    <w:p>
      <w:pPr>
        <w:pStyle w:val="TextBody"/>
        <w:bidi w:val="0"/>
        <w:spacing w:lineRule="auto" w:line="288" w:before="200" w:after="283"/>
        <w:jc w:val="left"/>
        <w:rPr/>
      </w:pPr>
      <w:r>
        <w:rPr>
          <w:rFonts w:ascii="Times New Roman;serif" w:hAnsi="Times New Roman;serif"/>
          <w:b w:val="false"/>
          <w:i/>
          <w:color w:val="000000"/>
          <w:sz w:val="22"/>
        </w:rPr>
        <w:t>Delaware Law</w:t>
      </w:r>
      <w:r>
        <w:rPr>
          <w:rFonts w:ascii="Times New Roman;serif" w:hAnsi="Times New Roman;serif"/>
          <w:b w:val="false"/>
          <w:color w:val="000000"/>
          <w:sz w:val="22"/>
        </w:rPr>
        <w:t>. We are subject to the “business combination” provisions of Section 203 of the Delaware General Corporation Law. In general, such provisions prohibit a publicly held Delaware corporation from engaging in various “business combination” transactions with any “interested stockholder” for a period of three years after the date of the transaction in which the person became an “interested stockholder,” unless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the transaction is approved by the Board prior to the date the interested stockholder obtained such status;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upon consummation of the transaction which resulted in the stockholder becoming an interested stockholder, the stockholder owned at least 85% of the voting stock of the corporation outstanding at the time the transaction commenced; 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on or subsequent to such date the business combination is approved by the Board and authorized at an annual or special meeting of stockholders by the affirmative vote of at least 66 2/3% of the outstanding voting stock which is not owned by the interested stockholder.</w:t>
      </w:r>
    </w:p>
    <w:p>
      <w:pPr>
        <w:pStyle w:val="TextBody"/>
        <w:bidi w:val="0"/>
        <w:spacing w:lineRule="auto" w:line="288" w:before="20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“business combination” is defined to include mergers, asset sales and other transactions resulting in financial benefit to an interested stockholder. In general, an “interested stockholder” is a person who, together with affiliates and associates, owns (or within three years, did own) 15% or more of a corporation’s voting stock.</w:t>
      </w:r>
    </w:p>
    <w:p>
      <w:pPr>
        <w:pStyle w:val="TextBody"/>
        <w:bidi w:val="0"/>
        <w:spacing w:lineRule="auto" w:line="288" w:before="200" w:after="283"/>
        <w:jc w:val="left"/>
        <w:rPr/>
      </w:pPr>
      <w:r>
        <w:rPr>
          <w:rFonts w:ascii="Times New Roman;serif" w:hAnsi="Times New Roman;serif"/>
          <w:b w:val="false"/>
          <w:i/>
          <w:color w:val="000000"/>
          <w:sz w:val="22"/>
        </w:rPr>
        <w:t>Advance Notice Provision</w:t>
      </w:r>
      <w:r>
        <w:rPr>
          <w:rFonts w:ascii="Times New Roman;serif" w:hAnsi="Times New Roman;serif"/>
          <w:b w:val="false"/>
          <w:color w:val="000000"/>
          <w:sz w:val="22"/>
        </w:rPr>
        <w:t xml:space="preserve">. Our Bylaws provide that a stockholder must notify us in writing, within timeframes specified in the Bylaws, of any stockholder nomination of a director and of any other business that the stockholder intends to bring at a meeting of stockholders. </w:t>
      </w:r>
    </w:p>
    <w:p>
      <w:pPr>
        <w:pStyle w:val="TextBody"/>
        <w:bidi w:val="0"/>
        <w:spacing w:lineRule="auto" w:line="288" w:before="200" w:after="283"/>
        <w:jc w:val="left"/>
        <w:rPr/>
      </w:pPr>
      <w:r>
        <w:rPr>
          <w:rFonts w:ascii="Times New Roman;serif" w:hAnsi="Times New Roman;serif"/>
          <w:b w:val="false"/>
          <w:i/>
          <w:color w:val="000000"/>
          <w:sz w:val="22"/>
        </w:rPr>
        <w:t>Proxy Access</w:t>
      </w:r>
      <w:r>
        <w:rPr>
          <w:rFonts w:ascii="Times New Roman;serif" w:hAnsi="Times New Roman;serif"/>
          <w:b w:val="false"/>
          <w:color w:val="000000"/>
          <w:sz w:val="22"/>
        </w:rPr>
        <w:t>. Our Bylaws permit a stockholder, or a group of up to 20 stockholders, that has continuously owned for at least three years shares representing at least 3% of our outstanding common stock entitled to vote in the election of directors, and that continues to own those shares through the annual meeting, to nominate and include in our proxy materials for an annual meeting director nominees constituting up to the greater of two directors or 20% of the number of directors then in office, provided that the stockholder or group and each nominee satisfy the eligibility, notice and other requirements specified in our Bylaws.</w:t>
      </w:r>
    </w:p>
    <w:p>
      <w:pPr>
        <w:pStyle w:val="TextBody"/>
        <w:bidi w:val="0"/>
        <w:spacing w:lineRule="auto" w:line="288" w:before="200" w:after="283"/>
        <w:jc w:val="left"/>
        <w:rPr/>
      </w:pPr>
      <w:r>
        <w:rPr>
          <w:rFonts w:ascii="Times New Roman;serif" w:hAnsi="Times New Roman;serif"/>
          <w:b w:val="false"/>
          <w:i/>
          <w:color w:val="000000"/>
          <w:sz w:val="22"/>
        </w:rPr>
        <w:t>Amendments to Bylaws</w:t>
      </w:r>
      <w:r>
        <w:rPr>
          <w:rFonts w:ascii="Times New Roman;serif" w:hAnsi="Times New Roman;serif"/>
          <w:b w:val="false"/>
          <w:color w:val="000000"/>
          <w:sz w:val="22"/>
        </w:rPr>
        <w:t>. Our Bylaws may be amended by the majority of our Board without stockholder approval. Stockholders can also amend the bylaws by a majority of the voting power of the common stock entitled to vote generally in the election of directors.</w:t>
      </w:r>
    </w:p>
    <w:p>
      <w:pPr>
        <w:pStyle w:val="TextBody"/>
        <w:bidi w:val="0"/>
        <w:spacing w:before="0" w:after="0"/>
        <w:jc w:val="righ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60655"/>
                <wp:effectExtent l="0" t="0" r="0" b="0"/>
                <wp:wrapNone/>
                <wp:docPr id="99" name="Frame9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88" w:before="200" w:after="283"/>
        <w:jc w:val="left"/>
        <w:rPr/>
      </w:pPr>
      <w:r>
        <w:rPr>
          <w:rFonts w:ascii="Times New Roman;serif" w:hAnsi="Times New Roman;serif"/>
          <w:b w:val="false"/>
          <w:i/>
          <w:color w:val="000000"/>
          <w:sz w:val="22"/>
        </w:rPr>
        <w:t xml:space="preserve">Board of Directors. </w:t>
      </w:r>
      <w:r>
        <w:rPr>
          <w:rFonts w:ascii="Times New Roman;serif" w:hAnsi="Times New Roman;serif"/>
          <w:b w:val="false"/>
          <w:color w:val="000000"/>
          <w:sz w:val="22"/>
        </w:rPr>
        <w:t>Our Bylaws and Certificate of Incorporation provide that the number of directors shall be fixed by resolution of the Board and any vacancies on the Board or newly-created directorships will be filled only by the Board. Our Board is not classified. Directors can be removed with or without cause by a majority of the voting power of the common stock entitled to vote generally in the election of directors.</w:t>
      </w:r>
    </w:p>
    <w:p>
      <w:pPr>
        <w:pStyle w:val="TextBody"/>
        <w:bidi w:val="0"/>
        <w:spacing w:lineRule="auto" w:line="288" w:before="200" w:after="283"/>
        <w:jc w:val="left"/>
        <w:rPr/>
      </w:pPr>
      <w:r>
        <w:rPr>
          <w:rFonts w:ascii="Times New Roman;serif" w:hAnsi="Times New Roman;serif"/>
          <w:b w:val="false"/>
          <w:i/>
          <w:color w:val="000000"/>
          <w:sz w:val="22"/>
        </w:rPr>
        <w:t xml:space="preserve">Written Consent. </w:t>
      </w:r>
      <w:r>
        <w:rPr>
          <w:rFonts w:ascii="Times New Roman;serif" w:hAnsi="Times New Roman;serif"/>
          <w:b w:val="false"/>
          <w:color w:val="000000"/>
          <w:sz w:val="22"/>
        </w:rPr>
        <w:t xml:space="preserve">Our Certificate of Incorporation and Bylaws provide that stockholders may act by written consent signed by the holders of at least 80% of the outstanding shares entitled to vote thereon. </w:t>
      </w:r>
    </w:p>
    <w:p>
      <w:pPr>
        <w:pStyle w:val="TextBody"/>
        <w:bidi w:val="0"/>
        <w:spacing w:lineRule="auto" w:line="288" w:before="200" w:after="283"/>
        <w:jc w:val="left"/>
        <w:rPr/>
      </w:pPr>
      <w:r>
        <w:rPr>
          <w:rFonts w:ascii="Times New Roman;serif" w:hAnsi="Times New Roman;serif"/>
          <w:b w:val="false"/>
          <w:i/>
          <w:color w:val="000000"/>
          <w:sz w:val="22"/>
        </w:rPr>
        <w:t xml:space="preserve">Special Meetings. </w:t>
      </w:r>
      <w:r>
        <w:rPr>
          <w:rFonts w:ascii="Times New Roman;serif" w:hAnsi="Times New Roman;serif"/>
          <w:b w:val="false"/>
          <w:color w:val="000000"/>
          <w:sz w:val="22"/>
        </w:rPr>
        <w:t>Our Bylaws provide that a special meeting of stockholders may be called by holders of at least 25% of FactSet’s issued and outstanding capital stock entitled to vote on any issue proposed to be considered at such meeting (subject to the requirements set forth in the Bylaws), or by the Chair, the Chief Executive Officer, the President or a majority of the Board.</w:t>
      </w:r>
    </w:p>
    <w:p>
      <w:pPr>
        <w:pStyle w:val="TextBody"/>
        <w:bidi w:val="0"/>
        <w:spacing w:lineRule="auto" w:line="288" w:before="200" w:after="283"/>
        <w:jc w:val="left"/>
        <w:rPr/>
      </w:pPr>
      <w:r>
        <w:rPr>
          <w:rFonts w:ascii="Times New Roman;serif" w:hAnsi="Times New Roman;serif"/>
          <w:b w:val="false"/>
          <w:i/>
          <w:color w:val="000000"/>
          <w:sz w:val="22"/>
        </w:rPr>
        <w:t>Forum Selection.</w:t>
      </w:r>
      <w:r>
        <w:rPr>
          <w:color w:val="000000"/>
        </w:rPr>
        <w:t xml:space="preserve"> </w:t>
      </w:r>
      <w:r>
        <w:rPr>
          <w:rFonts w:ascii="Times New Roman;serif" w:hAnsi="Times New Roman;serif"/>
          <w:b w:val="false"/>
          <w:color w:val="000000"/>
          <w:sz w:val="22"/>
        </w:rPr>
        <w:t>Our Certificate of Incorporation provides that, unless the Company consents otherwise (through approval of the Board) the Court of Chancery of the State of Delaware is the exclusive forum for any derivative action or proceeding brought on our behalf; any action asserting a breach of fiduciary duty, a claim against or any director or officer or other employee arising pursuant to the Delaware General Corporation Law, our Certificate of Incorporation or Bylaws; or a claim against us governed by the internal affairs doctrine. Our Certificate of Incorporation also provides that the federal district courts of the United States will be the exclusive forum for the resolution of any complaint asserting a cause of action arising under the Securities Act of 1933, as amended.</w:t>
      </w:r>
    </w:p>
    <w:p>
      <w:pPr>
        <w:pStyle w:val="TextBody"/>
        <w:bidi w:val="0"/>
        <w:spacing w:lineRule="auto" w:line="288" w:before="200" w:after="283"/>
        <w:jc w:val="left"/>
        <w:rPr>
          <w:rFonts w:ascii="Times New Roman;serif" w:hAnsi="Times New Roman;serif"/>
          <w:b/>
          <w:color w:val="000000"/>
          <w:sz w:val="22"/>
        </w:rPr>
      </w:pPr>
      <w:r>
        <w:rPr>
          <w:rFonts w:ascii="Times New Roman;serif" w:hAnsi="Times New Roman;serif"/>
          <w:b/>
          <w:color w:val="000000"/>
          <w:sz w:val="22"/>
        </w:rPr>
        <w:t>Transfer Agent and Registrar</w:t>
      </w:r>
    </w:p>
    <w:p>
      <w:pPr>
        <w:pStyle w:val="TextBody"/>
        <w:bidi w:val="0"/>
        <w:spacing w:lineRule="auto" w:line="288" w:before="200" w:after="283"/>
        <w:jc w:val="left"/>
        <w:rPr>
          <w:rFonts w:ascii="Times New Roman;serif" w:hAnsi="Times New Roman;serif"/>
          <w:b w:val="false"/>
          <w:color w:val="000000"/>
          <w:sz w:val="22"/>
        </w:rPr>
      </w:pPr>
      <w:r>
        <w:rPr>
          <w:rFonts w:ascii="Times New Roman;serif" w:hAnsi="Times New Roman;serif"/>
          <w:b w:val="false"/>
          <w:color w:val="000000"/>
          <w:sz w:val="22"/>
        </w:rPr>
        <w:t>The transfer agent and registrar for the common stock is Computershare Shareowner Services.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60655"/>
                <wp:effectExtent l="0" t="0" r="0" b="0"/>
                <wp:wrapNone/>
                <wp:docPr id="100" name="Frame9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w:t>
      </w:r>
    </w:p>
    <w:p>
      <w:pPr>
        <w:pStyle w:val="TextBody"/>
        <w:bidi w:val="0"/>
        <w:spacing w:lineRule="auto" w:line="276" w:before="0" w:after="0"/>
        <w:ind w:left="0" w:right="0" w:firstLine="3150"/>
        <w:jc w:val="left"/>
        <w:rPr>
          <w:rFonts w:ascii="Times New Roman;serif" w:hAnsi="Times New Roman;serif"/>
          <w:b/>
          <w:color w:val="000000"/>
          <w:sz w:val="18"/>
        </w:rPr>
      </w:pPr>
      <w:r>
        <w:rPr>
          <w:rFonts w:ascii="Times New Roman;serif" w:hAnsi="Times New Roman;serif"/>
          <w:b/>
          <w:color w:val="000000"/>
          <w:sz w:val="18"/>
        </w:rPr>
        <w:t>List of FactSet Research Systems, Inc.’s Subsidiaries</w:t>
      </w:r>
    </w:p>
    <w:p>
      <w:pPr>
        <w:pStyle w:val="TextBody"/>
        <w:bidi w:val="0"/>
        <w:spacing w:lineRule="auto" w:line="276" w:before="0" w:after="100"/>
        <w:jc w:val="left"/>
        <w:rPr>
          <w:rFonts w:ascii="Times New Roman;serif" w:hAnsi="Times New Roman;serif"/>
          <w:b w:val="false"/>
          <w:color w:val="000000"/>
          <w:sz w:val="18"/>
        </w:rPr>
      </w:pPr>
      <w:r>
        <w:rPr>
          <w:rFonts w:ascii="Times New Roman;serif" w:hAnsi="Times New Roman;serif"/>
          <w:b w:val="false"/>
          <w:color w:val="000000"/>
          <w:sz w:val="18"/>
        </w:rPr>
        <w:t>The following is a list of subsidiaries of FactSet Research Systems Inc., a Delaware corporation, as of August 31, 2026. This list includes companies owned (directly or indirectly) or controlled by FactSet Research Systems Inc.</w:t>
      </w:r>
    </w:p>
    <w:tbl>
      <w:tblPr>
        <w:tblW w:w="7992" w:type="dxa"/>
        <w:jc w:val="left"/>
        <w:tblInd w:w="0" w:type="dxa"/>
        <w:tblLayout w:type="fixed"/>
        <w:tblCellMar>
          <w:top w:w="28" w:type="dxa"/>
          <w:left w:w="28" w:type="dxa"/>
          <w:bottom w:w="28" w:type="dxa"/>
          <w:right w:w="28" w:type="dxa"/>
        </w:tblCellMar>
      </w:tblPr>
      <w:tblGrid>
        <w:gridCol w:w="1314"/>
        <w:gridCol w:w="1156"/>
        <w:gridCol w:w="1160"/>
        <w:gridCol w:w="109"/>
        <w:gridCol w:w="109"/>
        <w:gridCol w:w="109"/>
        <w:gridCol w:w="1180"/>
        <w:gridCol w:w="1180"/>
        <w:gridCol w:w="1675"/>
      </w:tblGrid>
      <w:tr>
        <w:trPr/>
        <w:tc>
          <w:tcPr>
            <w:tcW w:w="13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Name of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State or Country of Incorporation or Organization</w:t>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BI-SAM Inc.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Bravo Consult EOOD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Bulgaria</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Cabot Investment Technology,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Cobalt Software,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Code Red,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Massachusetts</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FactSet Benelux B.V.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Netherlands</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FactSet Brasil Consultoria Ltda.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Brazil</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FactSet Canada,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Canada</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FactSet China Co.,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China</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FactSet Charitable Foundation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FactSet Digital Solutions,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FactSet Europe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England</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FactSet Europe S.à.r.l.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Luxembourg</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FactSet France,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FactSet France SAS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France</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FactSet GmbH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Germany</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FactSet Hong Kong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Hong Kong</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FactSet International (Ireland)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Ireland</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FactSet International (UK)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England / Wales</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FactSet Ireland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Ireland</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FactSet Italia S.R.l.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Italy</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FactSet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FactSet Pacific,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FactSet Philippines,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Philippines</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FactSet Research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England / Wales</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FactSet Research Systems South Africa (Pty)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South Africa</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FactSet Singapore Pte.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Singapore</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FactSet Spain SL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Spain</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FactSet Sweden 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Sweden</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FactSet Switzerland AG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Switzerland</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FactSet Systems India Private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India</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FactSet (UAE)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Arab Emirates</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FactSet UK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England / Wales</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FactSet USVI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 Virgin Islands</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FinAnalytica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Washington</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idaciti,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Liquid Holdings,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Liquidity Book,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York</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LiquidityBook UK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England / Wales</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Messer Financial Software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Hong Kong</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Messer Financial Software (UK)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England / Wales</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P.A.N. Securities, LIMITED PARTNERSHIP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Connecticut</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Platform Group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Canada</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Portware International,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Portware,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PTS NET,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SIA FactSet Latvia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Latvia</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TableTop Data,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TruValue Labs,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Vermilion Holdings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Scotland</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Vermilion Software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Delaware</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EXHIBIT 23</w:t>
      </w:r>
    </w:p>
    <w:p>
      <w:pPr>
        <w:pStyle w:val="TextBody"/>
        <w:bidi w:val="0"/>
        <w:spacing w:before="0" w:after="0"/>
        <w:jc w:val="righ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the Registration Statements (Forms S-8 Nos. 333-292658, 333-289143, 333-222532, 333-171667, 333-156649 and 333-134298 and Form S-3 No. 333-284734) of our reports dated October 20, 2026, with respect to the consolidated financial statements of FactSet Research Systems Inc. and the effectiveness of internal control over financial reporting of FactSet Research Systems Inc. included in this Annual Report (Form 10-K) of FactSet Research Systems Inc. for the year ended August 31, 2026.</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Ernst &amp; Young LLP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Stamford, Connecticut</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October 20,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EXCHANGE ACT RULE 13a-14(a)/15d-14(a)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 Sanoke Viswanathan, certify that:</w:t>
      </w:r>
    </w:p>
    <w:p>
      <w:pPr>
        <w:pStyle w:val="TextBody"/>
        <w:bidi w:val="0"/>
        <w:spacing w:lineRule="auto" w:line="288" w:before="20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FactSet Research Systems Inc.;</w:t>
      </w:r>
    </w:p>
    <w:p>
      <w:pPr>
        <w:pStyle w:val="TextBody"/>
        <w:bidi w:val="0"/>
        <w:spacing w:lineRule="auto" w:line="288" w:before="20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controls and procedures, as of the end of the period covered by this report based on such evaluation;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200" w:after="283"/>
        <w:jc w:val="left"/>
        <w:rPr/>
      </w:pPr>
      <w:r>
        <w:rPr/>
      </w:r>
    </w:p>
    <w:tbl>
      <w:tblPr>
        <w:tblW w:w="2952" w:type="dxa"/>
        <w:jc w:val="left"/>
        <w:tblInd w:w="0" w:type="dxa"/>
        <w:tblLayout w:type="fixed"/>
        <w:tblCellMar>
          <w:top w:w="28" w:type="dxa"/>
          <w:left w:w="28" w:type="dxa"/>
          <w:bottom w:w="28" w:type="dxa"/>
          <w:right w:w="28" w:type="dxa"/>
        </w:tblCellMar>
      </w:tblPr>
      <w:tblGrid>
        <w:gridCol w:w="932"/>
        <w:gridCol w:w="822"/>
        <w:gridCol w:w="826"/>
        <w:gridCol w:w="109"/>
        <w:gridCol w:w="109"/>
        <w:gridCol w:w="154"/>
      </w:tblGrid>
      <w:tr>
        <w:trPr/>
        <w:tc>
          <w:tcPr>
            <w:tcW w:w="93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20,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SANOKE VISWANATHAN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200" w:after="283"/>
              <w:jc w:val="left"/>
              <w:rPr>
                <w:rFonts w:ascii="Times New Roman;serif" w:hAnsi="Times New Roman;serif"/>
                <w:b w:val="false"/>
                <w:color w:val="000000"/>
                <w:sz w:val="20"/>
              </w:rPr>
            </w:pPr>
            <w:r>
              <w:rPr>
                <w:rFonts w:ascii="Times New Roman;serif" w:hAnsi="Times New Roman;serif"/>
                <w:b w:val="false"/>
                <w:color w:val="000000"/>
                <w:sz w:val="20"/>
              </w:rPr>
              <w:t>Sanoke Viswanathan</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EXCHANGE ACT RULE 13a-14(a)/15d-14(a)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 Joshua Warren, certify that:</w:t>
      </w:r>
    </w:p>
    <w:p>
      <w:pPr>
        <w:pStyle w:val="TextBody"/>
        <w:bidi w:val="0"/>
        <w:spacing w:lineRule="auto" w:line="288" w:before="20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FactSet Research Systems Inc.;</w:t>
      </w:r>
    </w:p>
    <w:p>
      <w:pPr>
        <w:pStyle w:val="TextBody"/>
        <w:bidi w:val="0"/>
        <w:spacing w:lineRule="auto" w:line="288" w:before="20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controls and procedures, as of the end of the period covered by this report based on such evaluation; and</w:t>
      </w:r>
    </w:p>
    <w:p>
      <w:pPr>
        <w:pStyle w:val="TextBody"/>
        <w:bidi w:val="0"/>
        <w:spacing w:lineRule="auto" w:line="288" w:before="20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481" w:type="dxa"/>
        <w:jc w:val="left"/>
        <w:tblInd w:w="0" w:type="dxa"/>
        <w:tblLayout w:type="fixed"/>
        <w:tblCellMar>
          <w:top w:w="28" w:type="dxa"/>
          <w:left w:w="28" w:type="dxa"/>
          <w:bottom w:w="28" w:type="dxa"/>
          <w:right w:w="28" w:type="dxa"/>
        </w:tblCellMar>
      </w:tblPr>
      <w:tblGrid>
        <w:gridCol w:w="1485"/>
        <w:gridCol w:w="1309"/>
        <w:gridCol w:w="1315"/>
        <w:gridCol w:w="109"/>
        <w:gridCol w:w="109"/>
        <w:gridCol w:w="154"/>
      </w:tblGrid>
      <w:tr>
        <w:trPr/>
        <w:tc>
          <w:tcPr>
            <w:tcW w:w="1485"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20,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JOSHUA WARREN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Joshua Warren</w:t>
              <w:br/>
              <w:t>Executive Vice President, Chief Financial Officer</w:t>
              <w:b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of FactSet Research Systems Inc. (the “Company”) on Form 10-K for the fiscal year ended August 31, 2026, as filed with the Securities and Exchange Commission on the date hereof (the “Report”), I, Sanoke Viswanathan, do hereby certify, pursuant to 18 U.S.C. Section 1350, as adopted pursuant to Section 906 of the Sarbanes-Oxley Act of 2002, that, to my knowledge: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200" w:after="4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tbl>
      <w:tblPr>
        <w:tblW w:w="2951" w:type="dxa"/>
        <w:jc w:val="left"/>
        <w:tblInd w:w="0" w:type="dxa"/>
        <w:tblLayout w:type="fixed"/>
        <w:tblCellMar>
          <w:top w:w="28" w:type="dxa"/>
          <w:left w:w="28" w:type="dxa"/>
          <w:bottom w:w="28" w:type="dxa"/>
          <w:right w:w="28" w:type="dxa"/>
        </w:tblCellMar>
      </w:tblPr>
      <w:tblGrid>
        <w:gridCol w:w="935"/>
        <w:gridCol w:w="820"/>
        <w:gridCol w:w="824"/>
        <w:gridCol w:w="109"/>
        <w:gridCol w:w="109"/>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SANOKE VISWANATHAN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Sanoke Viswanathan</w:t>
              <w:br/>
              <w:t>Chief Executive Officer</w:t>
              <w:b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20,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of FactSet Research Systems Inc. (the “Company”) on Form 10-K for the fiscal year ended August 31, 2026 as filed with the Securities and Exchange Commission on the date hereof (the “Report”), I, Joshua Warren, do hereby certify, pursuant to 18 U.S.C. Section 1350, as adopted pursuant to Section 906 of the Sarbanes-Oxley Act of 2002, that, to my knowledge:</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200" w:after="4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tbl>
      <w:tblPr>
        <w:tblW w:w="4481" w:type="dxa"/>
        <w:jc w:val="left"/>
        <w:tblInd w:w="0" w:type="dxa"/>
        <w:tblLayout w:type="fixed"/>
        <w:tblCellMar>
          <w:top w:w="28" w:type="dxa"/>
          <w:left w:w="28" w:type="dxa"/>
          <w:bottom w:w="28" w:type="dxa"/>
          <w:right w:w="28" w:type="dxa"/>
        </w:tblCellMar>
      </w:tblPr>
      <w:tblGrid>
        <w:gridCol w:w="1487"/>
        <w:gridCol w:w="1309"/>
        <w:gridCol w:w="1313"/>
        <w:gridCol w:w="109"/>
        <w:gridCol w:w="109"/>
        <w:gridCol w:w="154"/>
      </w:tblGrid>
      <w:tr>
        <w:trPr/>
        <w:tc>
          <w:tcPr>
            <w:tcW w:w="1487"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JOSHUA WARREN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Joshua Warren</w:t>
              <w:br/>
              <w:t>Executive Vice President, Chief Financial Officer</w:t>
              <w:b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20,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ind w:left="0" w:right="0" w:hanging="36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013237/000162828025058577/factsetresearchsystemsinct.htm" TargetMode="External"/><Relationship Id="rId5" Type="http://schemas.openxmlformats.org/officeDocument/2006/relationships/hyperlink" Target="https://www.sec.gov/Archives/edgar/data/1013237/000162828025058577/factsetresearchsystemsinct.htm" TargetMode="External"/><Relationship Id="rId6" Type="http://schemas.openxmlformats.org/officeDocument/2006/relationships/hyperlink" Target="https://www.sec.gov/Archives/edgar/data/1013237/000162828025058577/factsetresearchsystemsinct.htm" TargetMode="External"/><Relationship Id="rId7" Type="http://schemas.openxmlformats.org/officeDocument/2006/relationships/hyperlink" Target="https://www.sec.gov/Archives/edgar/data/1013237/000162828025058577/factsetresearchsystemsinct.htm" TargetMode="External"/><Relationship Id="rId8" Type="http://schemas.openxmlformats.org/officeDocument/2006/relationships/hyperlink" Target="https://www.sec.gov/Archives/edgar/data/1013237/000162828025058577/factsetresearchsystemsinct.htm" TargetMode="External"/><Relationship Id="rId9" Type="http://schemas.openxmlformats.org/officeDocument/2006/relationships/hyperlink" Target="https://www.sec.gov/Archives/edgar/data/1013237/000162828025058577/factsetresearchsystemsinct.htm" TargetMode="External"/><Relationship Id="rId10" Type="http://schemas.openxmlformats.org/officeDocument/2006/relationships/hyperlink" Target="https://www.sec.gov/Archives/edgar/data/1013237/000162828026063888/amendedandrestatedby-laws.htm" TargetMode="External"/><Relationship Id="rId11" Type="http://schemas.openxmlformats.org/officeDocument/2006/relationships/hyperlink" Target="https://www.sec.gov/Archives/edgar/data/1013237/000162828026063888/amendedandrestatedby-laws.htm" TargetMode="External"/><Relationship Id="rId12" Type="http://schemas.openxmlformats.org/officeDocument/2006/relationships/hyperlink" Target="https://www.sec.gov/Archives/edgar/data/1013237/0000950112-96-002160.txt" TargetMode="External"/><Relationship Id="rId13" Type="http://schemas.openxmlformats.org/officeDocument/2006/relationships/hyperlink" Target="https://www.sec.gov/Archives/edgar/data/1013237/0000950112-96-002160.txt" TargetMode="External"/><Relationship Id="rId14" Type="http://schemas.openxmlformats.org/officeDocument/2006/relationships/hyperlink" Target="https://www.sec.gov/Archives/edgar/data/0001013237/000095015722000210/ex4-1.htm" TargetMode="External"/><Relationship Id="rId15" Type="http://schemas.openxmlformats.org/officeDocument/2006/relationships/hyperlink" Target="https://www.sec.gov/Archives/edgar/data/0001013237/000095015722000210/ex4-1.htm" TargetMode="External"/><Relationship Id="rId16" Type="http://schemas.openxmlformats.org/officeDocument/2006/relationships/hyperlink" Target="https://www.sec.gov/Archives/edgar/data/0001013237/000095015722000210/ex4-2.htm" TargetMode="External"/><Relationship Id="rId17" Type="http://schemas.openxmlformats.org/officeDocument/2006/relationships/hyperlink" Target="https://www.sec.gov/Archives/edgar/data/0001013237/000095015722000210/ex4-2.htm" TargetMode="External"/><Relationship Id="rId18" Type="http://schemas.openxmlformats.org/officeDocument/2006/relationships/hyperlink" Target="https://www.sec.gov/Archives/edgar/data/0001013237/000095015722000210/ex4-2.htm" TargetMode="External"/><Relationship Id="rId19" Type="http://schemas.openxmlformats.org/officeDocument/2006/relationships/hyperlink" Target="https://www.sec.gov/Archives/edgar/data/0001013237/000095015722000210/ex4-2.htm" TargetMode="External"/><Relationship Id="rId20" Type="http://schemas.openxmlformats.org/officeDocument/2006/relationships/hyperlink" Target="https://www.sec.gov/Archives/edgar/data/0001013237/000095015722000210/ex4-2.htm" TargetMode="External"/><Relationship Id="rId21" Type="http://schemas.openxmlformats.org/officeDocument/2006/relationships/hyperlink" Target="https://www.sec.gov/Archives/edgar/data/0001013237/000095015722000210/ex4-2.htm" TargetMode="External"/><Relationship Id="rId22" Type="http://schemas.openxmlformats.org/officeDocument/2006/relationships/hyperlink" Target="https://www.sec.gov/Archives/edgar/data/1013237/000119312504192500/ddef14a.htm" TargetMode="External"/><Relationship Id="rId23" Type="http://schemas.openxmlformats.org/officeDocument/2006/relationships/hyperlink" Target="https://www.sec.gov/Archives/edgar/data/1013237/000119312504192500/ddef14a.htm" TargetMode="External"/><Relationship Id="rId24" Type="http://schemas.openxmlformats.org/officeDocument/2006/relationships/hyperlink" Target="https://www.sec.gov/Archives/edgar/data/1013237/000119312504192500/ddef14a.htm" TargetMode="External"/><Relationship Id="rId25" Type="http://schemas.openxmlformats.org/officeDocument/2006/relationships/hyperlink" Target="https://www.sec.gov/Archives/edgar/data/1013237/000143774917021030/ex_102391.htm" TargetMode="External"/><Relationship Id="rId26" Type="http://schemas.openxmlformats.org/officeDocument/2006/relationships/hyperlink" Target="https://www.sec.gov/Archives/edgar/data/1013237/000143774917021030/ex_102391.htm" TargetMode="External"/><Relationship Id="rId27" Type="http://schemas.openxmlformats.org/officeDocument/2006/relationships/hyperlink" Target="https://www.sec.gov/Archives/edgar/data/1013237/000143774917021030/ex_102391.htm" TargetMode="External"/><Relationship Id="rId28" Type="http://schemas.openxmlformats.org/officeDocument/2006/relationships/hyperlink" Target="https://www.sec.gov/Archives/edgar/data/1013237/000143774917021030/ex_102392.htm" TargetMode="External"/><Relationship Id="rId29" Type="http://schemas.openxmlformats.org/officeDocument/2006/relationships/hyperlink" Target="https://www.sec.gov/Archives/edgar/data/1013237/000143774917021030/ex_102392.htm" TargetMode="External"/><Relationship Id="rId30" Type="http://schemas.openxmlformats.org/officeDocument/2006/relationships/hyperlink" Target="https://www.sec.gov/Archives/edgar/data/1013237/000143774917021030/ex_102392.htm" TargetMode="External"/><Relationship Id="rId31" Type="http://schemas.openxmlformats.org/officeDocument/2006/relationships/hyperlink" Target="https://www.sec.gov/Archives/edgar/data/1013237/000095010326000335/dp239706_ex9901.htm" TargetMode="External"/><Relationship Id="rId32" Type="http://schemas.openxmlformats.org/officeDocument/2006/relationships/hyperlink" Target="https://www.sec.gov/Archives/edgar/data/1013237/000095010326000335/dp239706_ex9901.htm" TargetMode="External"/><Relationship Id="rId33" Type="http://schemas.openxmlformats.org/officeDocument/2006/relationships/hyperlink" Target="https://www.sec.gov/Archives/edgar/data/1013237/000095010326000335/dp239706_ex9901.htm" TargetMode="External"/><Relationship Id="rId34" Type="http://schemas.openxmlformats.org/officeDocument/2006/relationships/hyperlink" Target="https://www.sec.gov/Archives/edgar/data/1013237/000162828026022873/ex-102xformrestrictedshare.htm" TargetMode="External"/><Relationship Id="rId35" Type="http://schemas.openxmlformats.org/officeDocument/2006/relationships/hyperlink" Target="https://www.sec.gov/Archives/edgar/data/1013237/000162828026022873/ex-102xformrestrictedshare.htm" TargetMode="External"/><Relationship Id="rId36" Type="http://schemas.openxmlformats.org/officeDocument/2006/relationships/hyperlink" Target="https://www.sec.gov/Archives/edgar/data/1013237/000162828026022873/ex-102xformrestrictedshare.htm" TargetMode="External"/><Relationship Id="rId37" Type="http://schemas.openxmlformats.org/officeDocument/2006/relationships/hyperlink" Target="https://www.sec.gov/Archives/edgar/data/1013237/000162828026022873/ex-102xformrestrictedshare.htm" TargetMode="External"/><Relationship Id="rId38" Type="http://schemas.openxmlformats.org/officeDocument/2006/relationships/hyperlink" Target="https://www.sec.gov/Archives/edgar/data/1013237/000162828026022873/ex-102xformrestrictedshare.htm" TargetMode="External"/><Relationship Id="rId39" Type="http://schemas.openxmlformats.org/officeDocument/2006/relationships/hyperlink" Target="https://www.sec.gov/Archives/edgar/data/1013237/000162828026022873/ex-102xformrestrictedshare.htm" TargetMode="External"/><Relationship Id="rId40" Type="http://schemas.openxmlformats.org/officeDocument/2006/relationships/hyperlink" Target="https://www.sec.gov/Archives/edgar/data/1013237/000162828026022873/ex-103xformstockoptionawar.htm" TargetMode="External"/><Relationship Id="rId41" Type="http://schemas.openxmlformats.org/officeDocument/2006/relationships/hyperlink" Target="https://www.sec.gov/Archives/edgar/data/1013237/000162828026022873/ex-103xformstockoptionawar.htm" TargetMode="External"/><Relationship Id="rId42" Type="http://schemas.openxmlformats.org/officeDocument/2006/relationships/hyperlink" Target="https://www.sec.gov/Archives/edgar/data/1013237/000162828026022873/ex-103xformstockoptionawar.htm" TargetMode="External"/><Relationship Id="rId43" Type="http://schemas.openxmlformats.org/officeDocument/2006/relationships/hyperlink" Target="https://www.sec.gov/Archives/edgar/data/1013237/000162828026022873/ex-103xformstockoptionawar.htm" TargetMode="External"/><Relationship Id="rId44" Type="http://schemas.openxmlformats.org/officeDocument/2006/relationships/hyperlink" Target="https://www.sec.gov/Archives/edgar/data/1013237/000162828026022873/ex-103xformstockoptionawar.htm" TargetMode="External"/><Relationship Id="rId45" Type="http://schemas.openxmlformats.org/officeDocument/2006/relationships/hyperlink" Target="https://www.sec.gov/Archives/edgar/data/1013237/000162828026022873/ex-103xformstockoptionawar.htm" TargetMode="External"/><Relationship Id="rId46" Type="http://schemas.openxmlformats.org/officeDocument/2006/relationships/hyperlink" Target="https://www.sec.gov/Archives/edgar/data/1013237/000162828026022873/ex-103xformstockoptionawar.htm" TargetMode="External"/><Relationship Id="rId47" Type="http://schemas.openxmlformats.org/officeDocument/2006/relationships/hyperlink" Target="https://www.sec.gov/Archives/edgar/data/1013237/000162828026022873/ex-104xformperformanceshar.htm" TargetMode="External"/><Relationship Id="rId48" Type="http://schemas.openxmlformats.org/officeDocument/2006/relationships/hyperlink" Target="https://www.sec.gov/Archives/edgar/data/1013237/000162828026022873/ex-104xformperformanceshar.htm" TargetMode="External"/><Relationship Id="rId49" Type="http://schemas.openxmlformats.org/officeDocument/2006/relationships/hyperlink" Target="https://www.sec.gov/Archives/edgar/data/1013237/000162828026022873/ex-104xformperformanceshar.htm" TargetMode="External"/><Relationship Id="rId50" Type="http://schemas.openxmlformats.org/officeDocument/2006/relationships/hyperlink" Target="https://www.sec.gov/Archives/edgar/data/1013237/000162828026022873/ex-104xformperformanceshar.htm" TargetMode="External"/><Relationship Id="rId51" Type="http://schemas.openxmlformats.org/officeDocument/2006/relationships/hyperlink" Target="https://www.sec.gov/Archives/edgar/data/1013237/000162828026022873/ex-104xformperformanceshar.htm" TargetMode="External"/><Relationship Id="rId52" Type="http://schemas.openxmlformats.org/officeDocument/2006/relationships/hyperlink" Target="https://www.sec.gov/Archives/edgar/data/1013237/000162828026022873/ex-104xformperformanceshar.htm" TargetMode="External"/><Relationship Id="rId53" Type="http://schemas.openxmlformats.org/officeDocument/2006/relationships/hyperlink" Target="https://www.sec.gov/Archives/edgar/data/1013237/000162828026022873/ex-104xformperformanceshar.htm" TargetMode="External"/><Relationship Id="rId54" Type="http://schemas.openxmlformats.org/officeDocument/2006/relationships/hyperlink" Target="https://www.sec.gov/Archives/edgar/data/1013237/000101323724000084/factsetresearchsystemsince.htm" TargetMode="External"/><Relationship Id="rId55" Type="http://schemas.openxmlformats.org/officeDocument/2006/relationships/hyperlink" Target="https://www.sec.gov/Archives/edgar/data/1013237/000101323724000084/factsetresearchsystemsince.htm" TargetMode="External"/><Relationship Id="rId56" Type="http://schemas.openxmlformats.org/officeDocument/2006/relationships/hyperlink" Target="https://www.sec.gov/Archives/edgar/data/1013237/000101323724000084/factsetresearchsystemsince.htm" TargetMode="External"/><Relationship Id="rId57" Type="http://schemas.openxmlformats.org/officeDocument/2006/relationships/hyperlink" Target="https://www.sec.gov/Archives/edgar/data/1013237/000101323724000084/factsetresearchsystemsince.htm" TargetMode="External"/><Relationship Id="rId58" Type="http://schemas.openxmlformats.org/officeDocument/2006/relationships/hyperlink" Target="https://www.sec.gov/Archives/edgar/data/1013237/000101323724000084/factsetresearchsystemsince.htm" TargetMode="External"/><Relationship Id="rId59" Type="http://schemas.openxmlformats.org/officeDocument/2006/relationships/hyperlink" Target="https://www.sec.gov/Archives/edgar/data/1013237/000101323720000045/a102formoffactsetresea.htm" TargetMode="External"/><Relationship Id="rId60" Type="http://schemas.openxmlformats.org/officeDocument/2006/relationships/hyperlink" Target="https://www.sec.gov/Archives/edgar/data/1013237/000101323720000045/a102formoffactsetresea.htm" TargetMode="External"/><Relationship Id="rId61" Type="http://schemas.openxmlformats.org/officeDocument/2006/relationships/hyperlink" Target="https://www.sec.gov/Archives/edgar/data/1013237/000101323720000045/a102formoffactsetresea.htm" TargetMode="External"/><Relationship Id="rId62" Type="http://schemas.openxmlformats.org/officeDocument/2006/relationships/hyperlink" Target="https://www.sec.gov/Archives/edgar/data/1013237/000101323720000045/a102formoffactsetresea.htm" TargetMode="External"/><Relationship Id="rId63" Type="http://schemas.openxmlformats.org/officeDocument/2006/relationships/hyperlink" Target="https://www.sec.gov/Archives/edgar/data/1013237/000101323720000045/a102formoffactsetresea.htm" TargetMode="External"/><Relationship Id="rId64" Type="http://schemas.openxmlformats.org/officeDocument/2006/relationships/hyperlink" Target="https://www.sec.gov/Archives/edgar/data/1013237/000162828026022873/ex-105xformofequityawardle.htm" TargetMode="External"/><Relationship Id="rId65" Type="http://schemas.openxmlformats.org/officeDocument/2006/relationships/hyperlink" Target="https://www.sec.gov/Archives/edgar/data/1013237/000162828026022873/ex-105xformofequityawardle.htm" TargetMode="External"/><Relationship Id="rId66" Type="http://schemas.openxmlformats.org/officeDocument/2006/relationships/hyperlink" Target="https://www.sec.gov/Archives/edgar/data/1013237/000162828026022873/ex-105xformofequityawardle.htm" TargetMode="External"/><Relationship Id="rId67" Type="http://schemas.openxmlformats.org/officeDocument/2006/relationships/hyperlink" Target="https://www.sec.gov/Archives/edgar/data/1013237/000162828026022873/ex-105xformofequityawardle.htm" TargetMode="External"/><Relationship Id="rId68" Type="http://schemas.openxmlformats.org/officeDocument/2006/relationships/hyperlink" Target="https://www.sec.gov/Archives/edgar/data/1013237/000162828026022873/ex-105xformofequityawardle.htm" TargetMode="External"/><Relationship Id="rId69" Type="http://schemas.openxmlformats.org/officeDocument/2006/relationships/hyperlink" Target="https://www.sec.gov/Archives/edgar/data/1013237/000101323725000054/factsetcreditagreement20.htm" TargetMode="External"/><Relationship Id="rId70" Type="http://schemas.openxmlformats.org/officeDocument/2006/relationships/hyperlink" Target="https://www.sec.gov/Archives/edgar/data/1013237/000101323725000054/factsetcreditagreement20.htm" TargetMode="External"/><Relationship Id="rId71" Type="http://schemas.openxmlformats.org/officeDocument/2006/relationships/hyperlink" Target="https://www.sec.gov/Archives/edgar/data/1013237/000095015726000966/ex10-1.htm" TargetMode="External"/><Relationship Id="rId72" Type="http://schemas.openxmlformats.org/officeDocument/2006/relationships/hyperlink" Target="https://www.sec.gov/Archives/edgar/data/1013237/000095015726000966/ex10-1.htm" TargetMode="External"/><Relationship Id="rId73" Type="http://schemas.openxmlformats.org/officeDocument/2006/relationships/hyperlink" Target="https://www.sec.gov/Archives/edgar/data/1013237/000095015726000966/ex10-1.htm" TargetMode="External"/><Relationship Id="rId74" Type="http://schemas.openxmlformats.org/officeDocument/2006/relationships/hyperlink" Target="https://www.sec.gov/Archives/edgar/data/1013237/000095015726000966/ex10-1.htm" TargetMode="External"/><Relationship Id="rId75" Type="http://schemas.openxmlformats.org/officeDocument/2006/relationships/hyperlink" Target="https://www.sec.gov/Archives/edgar/data/1013237/000095015726000966/ex10-1.htm" TargetMode="External"/><Relationship Id="rId76" Type="http://schemas.openxmlformats.org/officeDocument/2006/relationships/hyperlink" Target="https://www.sec.gov/Archives/edgar/data/1013237/000095015726000966/ex10-1.htm" TargetMode="External"/><Relationship Id="rId77" Type="http://schemas.openxmlformats.org/officeDocument/2006/relationships/hyperlink" Target="https://www.sec.gov/Archives/edgar/data/1013237/000101323724000089/cfoseparationagreementjuly.htm" TargetMode="External"/><Relationship Id="rId78" Type="http://schemas.openxmlformats.org/officeDocument/2006/relationships/hyperlink" Target="https://www.sec.gov/Archives/edgar/data/1013237/000101323724000089/cfoseparationagreementjuly.htm" TargetMode="External"/><Relationship Id="rId79" Type="http://schemas.openxmlformats.org/officeDocument/2006/relationships/hyperlink" Target="https://www.sec.gov/Archives/edgar/data/1013237/000101323725000070/fdsceoemploymentagreement2.htm" TargetMode="External"/><Relationship Id="rId80" Type="http://schemas.openxmlformats.org/officeDocument/2006/relationships/hyperlink" Target="https://www.sec.gov/Archives/edgar/data/1013237/000101323725000070/fdsceoemploymentagreement2.htm" TargetMode="External"/><Relationship Id="rId81" Type="http://schemas.openxmlformats.org/officeDocument/2006/relationships/hyperlink" Target="https://www.sec.gov/Archives/edgar/data/1013237/000101323725000070/fdsceoemploymentagreement2.htm" TargetMode="External"/><Relationship Id="rId82" Type="http://schemas.openxmlformats.org/officeDocument/2006/relationships/hyperlink" Target="https://www.sec.gov/Archives/edgar/data/1013237/000162828025045769/ex1013retirementagreementa.htm" TargetMode="External"/><Relationship Id="rId83" Type="http://schemas.openxmlformats.org/officeDocument/2006/relationships/hyperlink" Target="https://www.sec.gov/Archives/edgar/data/1013237/000162828025045769/ex1013retirementagreementa.htm" TargetMode="External"/><Relationship Id="rId84" Type="http://schemas.openxmlformats.org/officeDocument/2006/relationships/hyperlink" Target="https://www.sec.gov/Archives/edgar/data/1013237/000162828025045769/ex1013retirementagreementa.htm" TargetMode="External"/><Relationship Id="rId85" Type="http://schemas.openxmlformats.org/officeDocument/2006/relationships/hyperlink" Target="https://www.sec.gov/Archives/edgar/data/1013237/000162828026046549/a101employmentagreement-jo.htm" TargetMode="External"/><Relationship Id="rId86" Type="http://schemas.openxmlformats.org/officeDocument/2006/relationships/hyperlink" Target="https://www.sec.gov/Archives/edgar/data/1013237/000162828026046549/a101employmentagreement-jo.htm" TargetMode="External"/><Relationship Id="rId87" Type="http://schemas.openxmlformats.org/officeDocument/2006/relationships/hyperlink" Target="https://www.sec.gov/Archives/edgar/data/1013237/000162828026046549/a101employmentagreement-jo.htm" TargetMode="External"/><Relationship Id="rId88" Type="http://schemas.openxmlformats.org/officeDocument/2006/relationships/hyperlink" Target="https://www.sec.gov/Archives/edgar/data/1013237/000162828026046549/a101employmentagreement-jo.htm" TargetMode="External"/><Relationship Id="rId89" Type="http://schemas.openxmlformats.org/officeDocument/2006/relationships/hyperlink" Target="https://www.sec.gov/Archives/edgar/data/1013237/000162828026046549/a102separationagreementand.htm" TargetMode="External"/><Relationship Id="rId90" Type="http://schemas.openxmlformats.org/officeDocument/2006/relationships/hyperlink" Target="https://www.sec.gov/Archives/edgar/data/1013237/000162828026046549/a102separationagreementand.htm" TargetMode="External"/><Relationship Id="rId91" Type="http://schemas.openxmlformats.org/officeDocument/2006/relationships/hyperlink" Target="https://www.sec.gov/Archives/edgar/data/1013237/000162828026046549/a102separationagreementand.htm" TargetMode="External"/><Relationship Id="rId92" Type="http://schemas.openxmlformats.org/officeDocument/2006/relationships/hyperlink" Target="https://www.sec.gov/Archives/edgar/data/1013237/000162828026046549/a102separationagreementand.htm" TargetMode="External"/><Relationship Id="rId93" Type="http://schemas.openxmlformats.org/officeDocument/2006/relationships/hyperlink" Target="https://www.sec.gov/Archives/edgar/data/1013237/000162828026046549/a102separationagreementand.htm" TargetMode="External"/><Relationship Id="rId94" Type="http://schemas.openxmlformats.org/officeDocument/2006/relationships/hyperlink" Target="https://www.sec.gov/Archives/edgar/data/1013237/000162828026046549/a102separationagreementand.htm" TargetMode="External"/><Relationship Id="rId95" Type="http://schemas.openxmlformats.org/officeDocument/2006/relationships/hyperlink" Target="https://www.sec.gov/Archives/edgar/data/1013237/000101323724000141/fds-20240831xexx19.htm" TargetMode="External"/><Relationship Id="rId96" Type="http://schemas.openxmlformats.org/officeDocument/2006/relationships/hyperlink" Target="https://www.sec.gov/Archives/edgar/data/1013237/000101323724000141/fds-20240831xexx19.htm" TargetMode="External"/><Relationship Id="rId97" Type="http://schemas.openxmlformats.org/officeDocument/2006/relationships/hyperlink" Target="https://www.sec.gov/Archives/edgar/data/1013237/000101323723000128/exhibit97.htm" TargetMode="External"/><Relationship Id="rId98" Type="http://schemas.openxmlformats.org/officeDocument/2006/relationships/hyperlink" Target="https://www.sec.gov/Archives/edgar/data/1013237/000101323723000128/exhibit97.htm" TargetMode="External"/><Relationship Id="rId99" Type="http://schemas.openxmlformats.org/officeDocument/2006/relationships/fontTable" Target="fontTable.xml"/><Relationship Id="rId10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52239</Words>
  <Characters>294764</Characters>
  <CharactersWithSpaces>343984</CharactersWithSpaces>
  <Paragraphs>4753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